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48683" w14:textId="77777777" w:rsidR="005F1C61" w:rsidRPr="000D7967" w:rsidRDefault="005F1C61" w:rsidP="005F1C61">
      <w:bookmarkStart w:id="0" w:name="_GoBack"/>
      <w:bookmarkEnd w:id="0"/>
    </w:p>
    <w:p w14:paraId="4A793019" w14:textId="77777777" w:rsidR="005F1C61" w:rsidRPr="000D7967" w:rsidRDefault="005F1C61" w:rsidP="005F1C61"/>
    <w:p w14:paraId="26370720" w14:textId="77777777" w:rsidR="005F1C61" w:rsidRPr="000D7967" w:rsidRDefault="005F1C61" w:rsidP="005F1C61"/>
    <w:p w14:paraId="28191A83" w14:textId="77777777" w:rsidR="005F1C61" w:rsidRPr="000D7967" w:rsidRDefault="005F1C61" w:rsidP="005F1C61"/>
    <w:p w14:paraId="471CA396" w14:textId="77777777" w:rsidR="005F1C61" w:rsidRPr="000D7967" w:rsidRDefault="005F1C61" w:rsidP="005F1C61"/>
    <w:p w14:paraId="30BC869D" w14:textId="77777777" w:rsidR="005F1C61" w:rsidRPr="000D7967" w:rsidRDefault="005F1C61" w:rsidP="005F1C61"/>
    <w:p w14:paraId="4B84F5B3" w14:textId="77777777" w:rsidR="005F1C61" w:rsidRPr="000D7967" w:rsidRDefault="005F1C61" w:rsidP="005F1C61"/>
    <w:p w14:paraId="46D2A480" w14:textId="77777777" w:rsidR="005F1C61" w:rsidRPr="000D7967" w:rsidRDefault="005F1C61" w:rsidP="005F1C61"/>
    <w:p w14:paraId="19FD9F7D" w14:textId="0B42D74D" w:rsidR="005F1C61" w:rsidRPr="000D7967" w:rsidRDefault="00330A36" w:rsidP="005F1C61">
      <w:pPr>
        <w:jc w:val="center"/>
        <w:rPr>
          <w:b/>
        </w:rPr>
      </w:pPr>
      <w:r>
        <w:rPr>
          <w:b/>
        </w:rPr>
        <w:t>C</w:t>
      </w:r>
      <w:r w:rsidR="00E872C9">
        <w:rPr>
          <w:b/>
        </w:rPr>
        <w:t xml:space="preserve">omposite </w:t>
      </w:r>
      <w:r w:rsidR="001F3578">
        <w:rPr>
          <w:b/>
        </w:rPr>
        <w:t>vertical</w:t>
      </w:r>
      <w:r>
        <w:rPr>
          <w:b/>
        </w:rPr>
        <w:t>-</w:t>
      </w:r>
      <w:r w:rsidR="001F3578">
        <w:rPr>
          <w:b/>
        </w:rPr>
        <w:t>motion patterns</w:t>
      </w:r>
      <w:r w:rsidR="00E872C9">
        <w:rPr>
          <w:b/>
        </w:rPr>
        <w:t xml:space="preserve"> </w:t>
      </w:r>
      <w:r>
        <w:rPr>
          <w:b/>
        </w:rPr>
        <w:t>near</w:t>
      </w:r>
      <w:r w:rsidR="00E872C9">
        <w:rPr>
          <w:b/>
        </w:rPr>
        <w:t xml:space="preserve"> North American polar–subtropical jet superposition events </w:t>
      </w:r>
    </w:p>
    <w:p w14:paraId="31DC41D9" w14:textId="77777777" w:rsidR="005F1C61" w:rsidRPr="000D7967" w:rsidRDefault="005F1C61" w:rsidP="005F1C61">
      <w:pPr>
        <w:jc w:val="center"/>
        <w:rPr>
          <w:b/>
        </w:rPr>
      </w:pPr>
    </w:p>
    <w:p w14:paraId="69D6E797" w14:textId="77777777" w:rsidR="005F1C61" w:rsidRPr="000D7967" w:rsidRDefault="005F1C61" w:rsidP="005F1C61">
      <w:pPr>
        <w:jc w:val="center"/>
        <w:rPr>
          <w:i/>
        </w:rPr>
      </w:pPr>
      <w:r w:rsidRPr="000D7967">
        <w:rPr>
          <w:i/>
        </w:rPr>
        <w:t>By</w:t>
      </w:r>
    </w:p>
    <w:p w14:paraId="747F69D0" w14:textId="77777777" w:rsidR="005F1C61" w:rsidRPr="000D7967" w:rsidRDefault="005F1C61" w:rsidP="005F1C61">
      <w:pPr>
        <w:jc w:val="center"/>
        <w:rPr>
          <w:i/>
        </w:rPr>
      </w:pPr>
    </w:p>
    <w:p w14:paraId="570B4839" w14:textId="61E79AD3" w:rsidR="005F1C61" w:rsidRPr="009D6754" w:rsidRDefault="005F1C61" w:rsidP="005F1C61">
      <w:pPr>
        <w:jc w:val="center"/>
      </w:pPr>
      <w:r w:rsidRPr="000D7967">
        <w:t>ANDREW C. WINTERS</w:t>
      </w:r>
      <w:r>
        <w:rPr>
          <w:vertAlign w:val="superscript"/>
        </w:rPr>
        <w:t>1</w:t>
      </w:r>
      <w:r>
        <w:rPr>
          <w:rStyle w:val="FootnoteReference"/>
        </w:rPr>
        <w:footnoteReference w:customMarkFollows="1" w:id="1"/>
        <w:t>*</w:t>
      </w:r>
      <w:r>
        <w:t>, DANIEL KEYSER</w:t>
      </w:r>
      <w:r w:rsidR="009D6754">
        <w:rPr>
          <w:vertAlign w:val="superscript"/>
        </w:rPr>
        <w:t>2</w:t>
      </w:r>
      <w:r>
        <w:t xml:space="preserve">, </w:t>
      </w:r>
      <w:r w:rsidR="00E872C9">
        <w:t xml:space="preserve">and </w:t>
      </w:r>
      <w:r>
        <w:t>LANCE F. BOSART</w:t>
      </w:r>
      <w:r w:rsidR="009D6754">
        <w:rPr>
          <w:vertAlign w:val="superscript"/>
        </w:rPr>
        <w:t>2</w:t>
      </w:r>
    </w:p>
    <w:p w14:paraId="55182133" w14:textId="7EF15631" w:rsidR="009D6754" w:rsidRDefault="009D6754" w:rsidP="005F1C61">
      <w:pPr>
        <w:jc w:val="center"/>
      </w:pPr>
    </w:p>
    <w:p w14:paraId="0B8482E6" w14:textId="77777777" w:rsidR="009D6754" w:rsidRDefault="009D6754" w:rsidP="005F1C61">
      <w:pPr>
        <w:jc w:val="center"/>
      </w:pPr>
    </w:p>
    <w:p w14:paraId="1E934797" w14:textId="20F8EE75" w:rsidR="009D6754" w:rsidRDefault="009D6754" w:rsidP="005F1C61">
      <w:pPr>
        <w:jc w:val="center"/>
      </w:pPr>
    </w:p>
    <w:p w14:paraId="08E0C923" w14:textId="77777777" w:rsidR="009D6754" w:rsidRPr="000D7967" w:rsidRDefault="009D6754" w:rsidP="005F1C61">
      <w:pPr>
        <w:jc w:val="center"/>
      </w:pPr>
    </w:p>
    <w:p w14:paraId="033B631B" w14:textId="7F9AAA10" w:rsidR="005F1C61" w:rsidRDefault="005F1C61" w:rsidP="005F1C61">
      <w:pPr>
        <w:jc w:val="center"/>
      </w:pPr>
      <w:r>
        <w:rPr>
          <w:vertAlign w:val="superscript"/>
        </w:rPr>
        <w:t>1</w:t>
      </w:r>
      <w:r>
        <w:t xml:space="preserve">Department of Atmospheric and </w:t>
      </w:r>
      <w:r w:rsidR="009D6754">
        <w:t>Oceanic</w:t>
      </w:r>
      <w:r>
        <w:t xml:space="preserve"> Sciences</w:t>
      </w:r>
    </w:p>
    <w:p w14:paraId="1855A235" w14:textId="773851D1" w:rsidR="005F1C61" w:rsidRPr="002F4588" w:rsidRDefault="005F1C61" w:rsidP="005F1C61">
      <w:pPr>
        <w:jc w:val="center"/>
      </w:pPr>
      <w:r>
        <w:t xml:space="preserve">University </w:t>
      </w:r>
      <w:r w:rsidR="009D6754">
        <w:t>of Colorado Boulder</w:t>
      </w:r>
    </w:p>
    <w:p w14:paraId="283C82DB" w14:textId="13F2B03C" w:rsidR="005F1C61" w:rsidRDefault="009D6754" w:rsidP="005F1C61">
      <w:pPr>
        <w:jc w:val="center"/>
      </w:pPr>
      <w:r>
        <w:t>Boulder</w:t>
      </w:r>
      <w:r w:rsidR="005F1C61">
        <w:t>,</w:t>
      </w:r>
      <w:r>
        <w:t xml:space="preserve"> CO</w:t>
      </w:r>
      <w:r w:rsidR="005F1C61">
        <w:t xml:space="preserve"> </w:t>
      </w:r>
      <w:r>
        <w:t>80309</w:t>
      </w:r>
    </w:p>
    <w:p w14:paraId="0659D737" w14:textId="10AC9F19" w:rsidR="009D6754" w:rsidRDefault="009D6754" w:rsidP="005F1C61">
      <w:pPr>
        <w:jc w:val="center"/>
      </w:pPr>
    </w:p>
    <w:p w14:paraId="3DDE07E1" w14:textId="757A0722" w:rsidR="009D6754" w:rsidRDefault="009D6754" w:rsidP="009D6754">
      <w:pPr>
        <w:jc w:val="center"/>
      </w:pPr>
      <w:r>
        <w:rPr>
          <w:vertAlign w:val="superscript"/>
        </w:rPr>
        <w:t>2</w:t>
      </w:r>
      <w:r>
        <w:t>Department of Atmospheric and Environmental Sciences</w:t>
      </w:r>
    </w:p>
    <w:p w14:paraId="09E1214D" w14:textId="77777777" w:rsidR="009D6754" w:rsidRPr="002F4588" w:rsidRDefault="009D6754" w:rsidP="009D6754">
      <w:pPr>
        <w:jc w:val="center"/>
      </w:pPr>
      <w:r>
        <w:t>University at Albany, State University of New York</w:t>
      </w:r>
    </w:p>
    <w:p w14:paraId="1CC7434B" w14:textId="77777777" w:rsidR="009D6754" w:rsidRDefault="009D6754" w:rsidP="009D6754">
      <w:pPr>
        <w:jc w:val="center"/>
      </w:pPr>
      <w:r>
        <w:t>Albany, NY 12222</w:t>
      </w:r>
    </w:p>
    <w:p w14:paraId="064B6F5A" w14:textId="15D6D61F" w:rsidR="009D6754" w:rsidRDefault="009D6754" w:rsidP="005F1C61">
      <w:pPr>
        <w:jc w:val="center"/>
      </w:pPr>
    </w:p>
    <w:p w14:paraId="6DE1336F" w14:textId="4C7CA405" w:rsidR="009D6754" w:rsidRDefault="009D6754" w:rsidP="005F1C61">
      <w:pPr>
        <w:jc w:val="center"/>
        <w:rPr>
          <w:vertAlign w:val="superscript"/>
        </w:rPr>
      </w:pPr>
    </w:p>
    <w:p w14:paraId="64AD2C74" w14:textId="756E9232" w:rsidR="00E872C9" w:rsidRDefault="00E872C9" w:rsidP="005F1C61">
      <w:pPr>
        <w:jc w:val="center"/>
      </w:pPr>
    </w:p>
    <w:p w14:paraId="2DEB77E2" w14:textId="07A58B12" w:rsidR="00E872C9" w:rsidRDefault="00E872C9" w:rsidP="005F1C61">
      <w:pPr>
        <w:jc w:val="center"/>
      </w:pPr>
    </w:p>
    <w:p w14:paraId="74D4E370" w14:textId="0CD2024E" w:rsidR="00E872C9" w:rsidRDefault="00E872C9" w:rsidP="005F1C61">
      <w:pPr>
        <w:jc w:val="center"/>
      </w:pPr>
    </w:p>
    <w:p w14:paraId="4C99D927" w14:textId="4A2B8BA3" w:rsidR="009D6754" w:rsidRDefault="009D6754" w:rsidP="005F1C61">
      <w:pPr>
        <w:jc w:val="center"/>
      </w:pPr>
    </w:p>
    <w:p w14:paraId="0398D545" w14:textId="77777777" w:rsidR="009D6754" w:rsidRPr="000D7967" w:rsidRDefault="009D6754" w:rsidP="005F1C61">
      <w:pPr>
        <w:jc w:val="center"/>
      </w:pPr>
    </w:p>
    <w:p w14:paraId="731B722D" w14:textId="67EFFAAA" w:rsidR="00F562DA" w:rsidRDefault="005F1C61" w:rsidP="009D6754">
      <w:pPr>
        <w:jc w:val="center"/>
        <w:rPr>
          <w:i/>
        </w:rPr>
      </w:pPr>
      <w:r w:rsidRPr="000D7967">
        <w:t xml:space="preserve">Submitted for publication in </w:t>
      </w:r>
      <w:r w:rsidR="009D6754">
        <w:rPr>
          <w:i/>
        </w:rPr>
        <w:t>Monthly Weather Review</w:t>
      </w:r>
    </w:p>
    <w:p w14:paraId="7C703AB9" w14:textId="381B6C02" w:rsidR="009D6754" w:rsidRDefault="006B4F45" w:rsidP="009D6754">
      <w:pPr>
        <w:jc w:val="center"/>
      </w:pPr>
      <w:r>
        <w:t>7</w:t>
      </w:r>
      <w:r w:rsidR="009D6754">
        <w:t xml:space="preserve"> </w:t>
      </w:r>
      <w:r w:rsidR="0049619A">
        <w:t>May</w:t>
      </w:r>
      <w:r w:rsidR="009D6754">
        <w:t xml:space="preserve"> 20</w:t>
      </w:r>
      <w:r w:rsidR="00E872C9">
        <w:t>20</w:t>
      </w:r>
    </w:p>
    <w:p w14:paraId="0F0B4DBD" w14:textId="07F8FA2C" w:rsidR="00330A36" w:rsidRDefault="00330A36" w:rsidP="009D6754">
      <w:pPr>
        <w:jc w:val="center"/>
      </w:pPr>
    </w:p>
    <w:p w14:paraId="75A21DC2" w14:textId="0BA81ED0" w:rsidR="00330A36" w:rsidRDefault="00330A36" w:rsidP="009D6754">
      <w:pPr>
        <w:jc w:val="center"/>
      </w:pPr>
      <w:r>
        <w:t>Revised version submitted</w:t>
      </w:r>
    </w:p>
    <w:p w14:paraId="4BB2CA6F" w14:textId="6E17BAB1" w:rsidR="00330A36" w:rsidRPr="000D7967" w:rsidRDefault="00330A36" w:rsidP="009D6754">
      <w:pPr>
        <w:jc w:val="center"/>
      </w:pPr>
      <w:r>
        <w:t>7 August 2020</w:t>
      </w:r>
    </w:p>
    <w:p w14:paraId="6335E648" w14:textId="77777777" w:rsidR="005F1C61" w:rsidRPr="000D7967" w:rsidRDefault="005F1C61" w:rsidP="005F1C61">
      <w:pPr>
        <w:jc w:val="center"/>
      </w:pPr>
    </w:p>
    <w:p w14:paraId="25D04AE0" w14:textId="77777777" w:rsidR="005F1C61" w:rsidRPr="000D7967" w:rsidRDefault="005F1C61" w:rsidP="005F1C61">
      <w:pPr>
        <w:jc w:val="center"/>
      </w:pPr>
    </w:p>
    <w:p w14:paraId="42D52A5F" w14:textId="77777777" w:rsidR="005F1C61" w:rsidRPr="000D7967" w:rsidRDefault="005F1C61" w:rsidP="005F1C61">
      <w:pPr>
        <w:jc w:val="center"/>
      </w:pPr>
    </w:p>
    <w:p w14:paraId="06C764CB" w14:textId="77777777" w:rsidR="005F1C61" w:rsidRPr="000D7967" w:rsidRDefault="005F1C61" w:rsidP="005F1C61">
      <w:pPr>
        <w:jc w:val="center"/>
      </w:pPr>
    </w:p>
    <w:p w14:paraId="2A7270E7" w14:textId="77777777" w:rsidR="005F1C61" w:rsidRPr="000D7967" w:rsidRDefault="005F1C61" w:rsidP="005F1C61">
      <w:pPr>
        <w:jc w:val="center"/>
      </w:pPr>
    </w:p>
    <w:p w14:paraId="03620764" w14:textId="77777777" w:rsidR="005F1C61" w:rsidRPr="000D7967" w:rsidRDefault="005F1C61" w:rsidP="005F1C61">
      <w:pPr>
        <w:jc w:val="center"/>
      </w:pPr>
    </w:p>
    <w:p w14:paraId="13FFACC6" w14:textId="77777777" w:rsidR="005F1C61" w:rsidRDefault="005F1C61" w:rsidP="005F1C61">
      <w:pPr>
        <w:rPr>
          <w:b/>
        </w:rPr>
      </w:pPr>
    </w:p>
    <w:p w14:paraId="23F07B0E" w14:textId="2C9F1D93" w:rsidR="00930132" w:rsidRDefault="006713B4" w:rsidP="00930132">
      <w:pPr>
        <w:jc w:val="center"/>
      </w:pPr>
      <w:r>
        <w:lastRenderedPageBreak/>
        <w:t>ABSTRACT</w:t>
      </w:r>
    </w:p>
    <w:p w14:paraId="6F3E54CF" w14:textId="17871C2B" w:rsidR="00930132" w:rsidRDefault="00930132" w:rsidP="00930132">
      <w:pPr>
        <w:jc w:val="center"/>
      </w:pPr>
    </w:p>
    <w:p w14:paraId="248D43D7" w14:textId="141CAA8F" w:rsidR="00930132" w:rsidRPr="001C2A70" w:rsidRDefault="00930132" w:rsidP="00930132">
      <w:pPr>
        <w:spacing w:line="480" w:lineRule="auto"/>
        <w:sectPr w:rsidR="00930132" w:rsidRPr="001C2A70" w:rsidSect="003D2B69">
          <w:footerReference w:type="even" r:id="rId8"/>
          <w:footerReference w:type="default" r:id="rId9"/>
          <w:pgSz w:w="12240" w:h="15840"/>
          <w:pgMar w:top="1440" w:right="1440" w:bottom="1440" w:left="1440" w:header="720" w:footer="720" w:gutter="0"/>
          <w:lnNumType w:countBy="1" w:restart="continuous"/>
          <w:cols w:space="720"/>
          <w:docGrid w:linePitch="360"/>
        </w:sectPr>
      </w:pPr>
      <w:r>
        <w:tab/>
        <w:t>A polar–subtropical jet superposition</w:t>
      </w:r>
      <w:r w:rsidR="002F681F">
        <w:t xml:space="preserve"> is preceded by the development </w:t>
      </w:r>
      <w:r>
        <w:t>of a polar cyclonic potential vorticity (PV) anomaly</w:t>
      </w:r>
      <w:r w:rsidR="002F681F">
        <w:t xml:space="preserve"> at high latitudes and </w:t>
      </w:r>
      <w:r>
        <w:t xml:space="preserve">a tropical anticyclonic PV anomaly at </w:t>
      </w:r>
      <w:r w:rsidR="002F681F">
        <w:t>subtropical latitudes</w:t>
      </w:r>
      <w:r>
        <w:t>.</w:t>
      </w:r>
      <w:r w:rsidR="002F681F">
        <w:t xml:space="preserve"> A confluent large-scale flow pattern can </w:t>
      </w:r>
      <w:r w:rsidR="005342A7">
        <w:t>lead to</w:t>
      </w:r>
      <w:r w:rsidR="002F681F">
        <w:t xml:space="preserve"> the juxtaposition of these </w:t>
      </w:r>
      <w:r w:rsidR="008A4160">
        <w:t>respective</w:t>
      </w:r>
      <w:r w:rsidR="002F681F">
        <w:t xml:space="preserve"> PV anomalies at </w:t>
      </w:r>
      <w:r w:rsidR="00D12343">
        <w:t>middle latitudes</w:t>
      </w:r>
      <w:r w:rsidR="002F681F">
        <w:t xml:space="preserve">, </w:t>
      </w:r>
      <w:r w:rsidR="008E0DB8">
        <w:t>resulting</w:t>
      </w:r>
      <w:r>
        <w:t xml:space="preserve"> in </w:t>
      </w:r>
      <w:r w:rsidR="0095226D">
        <w:t>the</w:t>
      </w:r>
      <w:r w:rsidR="00F05D2E">
        <w:t xml:space="preserve"> addition</w:t>
      </w:r>
      <w:r w:rsidR="0095226D">
        <w:t xml:space="preserve"> </w:t>
      </w:r>
      <w:r>
        <w:t>of the nondivergent circulations induced by each PV anomaly and a</w:t>
      </w:r>
      <w:r w:rsidR="00FF7212">
        <w:t xml:space="preserve">n </w:t>
      </w:r>
      <w:r>
        <w:t>increase in upper-tropospheric wind speeds</w:t>
      </w:r>
      <w:r w:rsidR="005342A7">
        <w:t xml:space="preserve"> </w:t>
      </w:r>
      <w:r w:rsidR="00B227F6">
        <w:t>at the location of</w:t>
      </w:r>
      <w:r w:rsidR="00F05D2E">
        <w:t xml:space="preserve"> jet </w:t>
      </w:r>
      <w:r w:rsidR="00B227F6">
        <w:t>superposition</w:t>
      </w:r>
      <w:r>
        <w:t xml:space="preserve">. </w:t>
      </w:r>
      <w:r w:rsidR="002E1B96">
        <w:t>Once these PV anomalies become juxtaposed, v</w:t>
      </w:r>
      <w:r>
        <w:t>ertical motion</w:t>
      </w:r>
      <w:r w:rsidR="002E1B96">
        <w:t xml:space="preserve"> within the near-jet environment</w:t>
      </w:r>
      <w:r>
        <w:t xml:space="preserve"> </w:t>
      </w:r>
      <w:r w:rsidR="008C0EC7">
        <w:t>facilitates</w:t>
      </w:r>
      <w:r w:rsidR="00FF2F55">
        <w:t xml:space="preserve"> the</w:t>
      </w:r>
      <w:r w:rsidR="003D0025">
        <w:t xml:space="preserve"> advection</w:t>
      </w:r>
      <w:r w:rsidR="00FF2F55">
        <w:t xml:space="preserve"> and diabatic redistribution of tropopause-level PV, </w:t>
      </w:r>
      <w:r w:rsidR="002E1B96">
        <w:t>and</w:t>
      </w:r>
      <w:r w:rsidR="00FF2F55">
        <w:t xml:space="preserve"> </w:t>
      </w:r>
      <w:r w:rsidR="003D0025">
        <w:t>the</w:t>
      </w:r>
      <w:r w:rsidR="002E1B96">
        <w:t xml:space="preserve"> subsequent</w:t>
      </w:r>
      <w:r w:rsidR="003D0025">
        <w:t xml:space="preserve"> formation</w:t>
      </w:r>
      <w:r>
        <w:t xml:space="preserve"> of </w:t>
      </w:r>
      <w:r w:rsidR="00FF2F55">
        <w:t>the</w:t>
      </w:r>
      <w:r>
        <w:t xml:space="preserve"> steep, single-step tropopause structure</w:t>
      </w:r>
      <w:r w:rsidR="00FF2F55">
        <w:t xml:space="preserve"> that characterizes a jet superposition</w:t>
      </w:r>
      <w:r>
        <w:t xml:space="preserve">. </w:t>
      </w:r>
      <w:r w:rsidR="00387448">
        <w:t>Given the importance of vertical motion during the formation of jet superpositions, t</w:t>
      </w:r>
      <w:r>
        <w:t>his study adopts a quasigeostrophic</w:t>
      </w:r>
      <w:r w:rsidR="001C2A70">
        <w:t xml:space="preserve"> (QG)</w:t>
      </w:r>
      <w:r>
        <w:t xml:space="preserve"> </w:t>
      </w:r>
      <w:r w:rsidR="00345B8B">
        <w:t xml:space="preserve">diagnostic </w:t>
      </w:r>
      <w:r>
        <w:t xml:space="preserve">approach to </w:t>
      </w:r>
      <w:r w:rsidR="00BF456B">
        <w:t>quantify</w:t>
      </w:r>
      <w:r>
        <w:t xml:space="preserve"> the production of vertical motion </w:t>
      </w:r>
      <w:r w:rsidR="00F30AF1">
        <w:t>during three types of jet superposition</w:t>
      </w:r>
      <w:r w:rsidR="00B80466">
        <w:t xml:space="preserve"> events</w:t>
      </w:r>
      <w:r w:rsidR="00F30AF1">
        <w:t>: polar dominant, eastern subtropical dominant, and western subtropical dominant</w:t>
      </w:r>
      <w:r>
        <w:t>.</w:t>
      </w:r>
      <w:r w:rsidR="001C2A70">
        <w:t xml:space="preserve"> The</w:t>
      </w:r>
      <w:r w:rsidR="008A4160">
        <w:t xml:space="preserve"> diagnosis</w:t>
      </w:r>
      <w:r w:rsidR="001C2A70">
        <w:t xml:space="preserve"> </w:t>
      </w:r>
      <w:r w:rsidR="008455B5">
        <w:t>reveals</w:t>
      </w:r>
      <w:r w:rsidR="001C2A70">
        <w:t xml:space="preserve"> that the geostrophic </w:t>
      </w:r>
      <w:r w:rsidR="00345B8B">
        <w:t>wind</w:t>
      </w:r>
      <w:r w:rsidR="001C2A70">
        <w:t xml:space="preserve"> induced by polar cyclonic QGPV anomalies</w:t>
      </w:r>
      <w:r w:rsidR="008455B5">
        <w:t xml:space="preserve"> is predominantly responsible for QG vertical motion in the vicinity of</w:t>
      </w:r>
      <w:r w:rsidR="00387448">
        <w:t xml:space="preserve"> </w:t>
      </w:r>
      <w:r w:rsidR="008455B5">
        <w:t>jet superposition</w:t>
      </w:r>
      <w:r w:rsidR="00387448">
        <w:t>s</w:t>
      </w:r>
      <w:r w:rsidR="001C2A70">
        <w:t>.</w:t>
      </w:r>
      <w:r w:rsidR="00C12596">
        <w:t xml:space="preserve"> The </w:t>
      </w:r>
      <w:r w:rsidR="0078367E">
        <w:t xml:space="preserve">QG vertical motion </w:t>
      </w:r>
      <w:r w:rsidR="003E44C4">
        <w:t>diagnosed from</w:t>
      </w:r>
      <w:r w:rsidR="0078367E">
        <w:t xml:space="preserve"> the </w:t>
      </w:r>
      <w:r w:rsidR="001C2A70">
        <w:t>along-</w:t>
      </w:r>
      <w:r w:rsidR="008455B5">
        <w:t>isotherm</w:t>
      </w:r>
      <w:r w:rsidR="00A75BCB">
        <w:t xml:space="preserve"> </w:t>
      </w:r>
      <w:r w:rsidR="00C12596">
        <w:t xml:space="preserve">component of the </w:t>
      </w:r>
      <w:r w:rsidR="00C12596" w:rsidRPr="001C2A70">
        <w:rPr>
          <w:b/>
          <w:i/>
        </w:rPr>
        <w:t>Q</w:t>
      </w:r>
      <w:r w:rsidR="00C12596">
        <w:t xml:space="preserve"> vector</w:t>
      </w:r>
      <w:r w:rsidR="003E44C4">
        <w:t xml:space="preserve">, which </w:t>
      </w:r>
      <w:r w:rsidR="008E0DB8">
        <w:t>represents</w:t>
      </w:r>
      <w:r w:rsidR="00624A62">
        <w:t xml:space="preserve"> the</w:t>
      </w:r>
      <w:r w:rsidR="003E44C4">
        <w:t xml:space="preserve"> vertical motion associated with synoptic-scale waves,</w:t>
      </w:r>
      <w:r w:rsidR="00215CAD">
        <w:t xml:space="preserve"> </w:t>
      </w:r>
      <w:r w:rsidR="00415EC0">
        <w:t>is</w:t>
      </w:r>
      <w:r w:rsidR="0078367E">
        <w:t xml:space="preserve"> dominant </w:t>
      </w:r>
      <w:r w:rsidR="00D17D0B">
        <w:t>within the near-jet environment</w:t>
      </w:r>
      <w:r w:rsidR="004A7021">
        <w:t>.</w:t>
      </w:r>
      <w:r w:rsidR="008455B5">
        <w:t xml:space="preserve"> </w:t>
      </w:r>
      <w:r w:rsidR="00C12596">
        <w:t>The</w:t>
      </w:r>
      <w:r w:rsidR="0078367E">
        <w:t xml:space="preserve"> QG vertical motion</w:t>
      </w:r>
      <w:r w:rsidR="003E44C4">
        <w:t xml:space="preserve"> diagnosed from</w:t>
      </w:r>
      <w:r w:rsidR="0078367E">
        <w:t xml:space="preserve"> the</w:t>
      </w:r>
      <w:r w:rsidR="00C12596">
        <w:t xml:space="preserve"> across-</w:t>
      </w:r>
      <w:r w:rsidR="00F93A6F">
        <w:t>isotherm</w:t>
      </w:r>
      <w:r w:rsidR="00C12596">
        <w:t xml:space="preserve"> component of the</w:t>
      </w:r>
      <w:r w:rsidR="00C12596" w:rsidRPr="00C12596">
        <w:rPr>
          <w:i/>
        </w:rPr>
        <w:t xml:space="preserve"> </w:t>
      </w:r>
      <w:r w:rsidR="00C12596" w:rsidRPr="00C12596">
        <w:rPr>
          <w:b/>
          <w:i/>
        </w:rPr>
        <w:t>Q</w:t>
      </w:r>
      <w:r w:rsidR="00C12596">
        <w:t xml:space="preserve"> vector, which</w:t>
      </w:r>
      <w:r w:rsidR="003E44C4">
        <w:t xml:space="preserve"> </w:t>
      </w:r>
      <w:r w:rsidR="008E0DB8">
        <w:t>represents</w:t>
      </w:r>
      <w:r w:rsidR="00624A62">
        <w:t xml:space="preserve"> the</w:t>
      </w:r>
      <w:r w:rsidR="003E44C4">
        <w:t xml:space="preserve"> vertical motion associated with frontal circulations in the vicinity of the jet</w:t>
      </w:r>
      <w:r w:rsidR="00C12596">
        <w:t>,</w:t>
      </w:r>
      <w:r w:rsidR="00776797">
        <w:t xml:space="preserve"> </w:t>
      </w:r>
      <w:r w:rsidR="00C12596">
        <w:t>is</w:t>
      </w:r>
      <w:r w:rsidR="00776797">
        <w:t xml:space="preserve"> subordinate</w:t>
      </w:r>
      <w:r w:rsidR="00D17D0B">
        <w:t xml:space="preserve"> within the near-jet environment</w:t>
      </w:r>
      <w:r w:rsidR="00776797">
        <w:t>, but</w:t>
      </w:r>
      <w:r w:rsidR="008455B5">
        <w:t xml:space="preserve"> </w:t>
      </w:r>
      <w:r w:rsidR="00C12596">
        <w:t>is</w:t>
      </w:r>
      <w:r w:rsidR="00415EC0">
        <w:t xml:space="preserve"> relatively</w:t>
      </w:r>
      <w:r w:rsidR="004A7021">
        <w:t xml:space="preserve"> </w:t>
      </w:r>
      <w:r w:rsidR="00776797">
        <w:t>more important</w:t>
      </w:r>
      <w:r w:rsidR="00665EFE">
        <w:t xml:space="preserve"> </w:t>
      </w:r>
      <w:r w:rsidR="00776797">
        <w:t xml:space="preserve">during </w:t>
      </w:r>
      <w:r w:rsidR="00F30AF1">
        <w:t>eastern subtropical dominant events</w:t>
      </w:r>
      <w:r w:rsidR="00776797">
        <w:t xml:space="preserve"> compared to </w:t>
      </w:r>
      <w:r w:rsidR="00F30AF1">
        <w:t>polar</w:t>
      </w:r>
      <w:r w:rsidR="008E0DB8">
        <w:t xml:space="preserve"> dominant</w:t>
      </w:r>
      <w:r w:rsidR="00F30AF1">
        <w:t xml:space="preserve"> and western subtropical dominant events</w:t>
      </w:r>
      <w:r w:rsidR="008455B5">
        <w:t>.</w:t>
      </w:r>
    </w:p>
    <w:p w14:paraId="24040E45" w14:textId="47C9D337" w:rsidR="005F1C61" w:rsidRPr="004A66CF" w:rsidRDefault="005F1C61" w:rsidP="004A66CF">
      <w:pPr>
        <w:pStyle w:val="ListParagraph"/>
        <w:numPr>
          <w:ilvl w:val="0"/>
          <w:numId w:val="11"/>
        </w:numPr>
        <w:tabs>
          <w:tab w:val="left" w:pos="180"/>
        </w:tabs>
        <w:spacing w:line="480" w:lineRule="auto"/>
        <w:ind w:hanging="720"/>
        <w:rPr>
          <w:b/>
        </w:rPr>
      </w:pPr>
      <w:r>
        <w:rPr>
          <w:b/>
        </w:rPr>
        <w:lastRenderedPageBreak/>
        <w:t xml:space="preserve"> </w:t>
      </w:r>
      <w:r w:rsidRPr="00B92B6E">
        <w:rPr>
          <w:b/>
        </w:rPr>
        <w:t>Introduction</w:t>
      </w:r>
    </w:p>
    <w:p w14:paraId="4BA4E5EE" w14:textId="0A0A429B" w:rsidR="00AB1A4D" w:rsidRDefault="007D7892" w:rsidP="00F05A66">
      <w:pPr>
        <w:spacing w:line="480" w:lineRule="auto"/>
      </w:pPr>
      <w:r>
        <w:tab/>
      </w:r>
      <w:r w:rsidR="003D6118">
        <w:t>Polar–subtropical jet superposition</w:t>
      </w:r>
      <w:r w:rsidR="00C603D5">
        <w:t xml:space="preserve">s </w:t>
      </w:r>
      <w:r w:rsidR="00A65853">
        <w:t>represent</w:t>
      </w:r>
      <w:r w:rsidR="001E2A9E">
        <w:t xml:space="preserve"> a type of</w:t>
      </w:r>
      <w:r w:rsidR="009D215D">
        <w:t xml:space="preserve"> </w:t>
      </w:r>
      <w:r w:rsidR="003D6118">
        <w:t>synoptic-scale environment</w:t>
      </w:r>
      <w:r w:rsidR="008E50EC">
        <w:t xml:space="preserve"> </w:t>
      </w:r>
      <w:r w:rsidR="00DB29F4">
        <w:t>conducive to</w:t>
      </w:r>
      <w:r w:rsidR="00F07C4C">
        <w:t xml:space="preserve"> </w:t>
      </w:r>
      <w:r w:rsidR="003D6118">
        <w:t xml:space="preserve">high-impact weather </w:t>
      </w:r>
      <w:r w:rsidR="00D833BC">
        <w:t>(Winters and Martin 2014, 2016,</w:t>
      </w:r>
      <w:r w:rsidR="00E27654">
        <w:t xml:space="preserve"> 2017; Handlos and Martin 2016; Christenson et al. 2017</w:t>
      </w:r>
      <w:r w:rsidR="00AB5251">
        <w:t>; Winters et al. 2020</w:t>
      </w:r>
      <w:r w:rsidR="00E27654">
        <w:t>).</w:t>
      </w:r>
      <w:r w:rsidR="00D279BC">
        <w:t xml:space="preserve"> </w:t>
      </w:r>
      <w:r w:rsidR="005B7C4C">
        <w:t>T</w:t>
      </w:r>
      <w:r w:rsidR="0036084C">
        <w:t xml:space="preserve">he </w:t>
      </w:r>
      <w:r w:rsidR="00FB60BC">
        <w:t>development</w:t>
      </w:r>
      <w:r w:rsidR="0036084C">
        <w:t xml:space="preserve"> of</w:t>
      </w:r>
      <w:r w:rsidR="00FB60BC">
        <w:t xml:space="preserve"> a</w:t>
      </w:r>
      <w:r w:rsidR="0036084C">
        <w:t xml:space="preserve"> jet superposition</w:t>
      </w:r>
      <w:r w:rsidR="005B7C4C">
        <w:t xml:space="preserve"> </w:t>
      </w:r>
      <w:r w:rsidR="00BA358A">
        <w:t>is</w:t>
      </w:r>
      <w:r w:rsidR="005B7C4C">
        <w:t xml:space="preserve"> conceptualized by Winters and Martin (2017; their Fig. 2) and Winters et al. (2020; their Fig. 1)</w:t>
      </w:r>
      <w:r w:rsidR="0036084C">
        <w:t xml:space="preserve"> </w:t>
      </w:r>
      <w:r w:rsidR="00570AFB">
        <w:t>using</w:t>
      </w:r>
      <w:r w:rsidR="0036084C">
        <w:t xml:space="preserve"> a potential vorticity (PV) </w:t>
      </w:r>
      <w:r w:rsidR="00F66BDC">
        <w:t>framework</w:t>
      </w:r>
      <w:r w:rsidR="00AB1A4D">
        <w:t xml:space="preserve">. </w:t>
      </w:r>
      <w:r w:rsidR="00A3469E">
        <w:t xml:space="preserve">The </w:t>
      </w:r>
      <w:r w:rsidR="0081321B">
        <w:t>forthcoming</w:t>
      </w:r>
      <w:r w:rsidR="00AC30C2">
        <w:t xml:space="preserve"> </w:t>
      </w:r>
      <w:r w:rsidR="00A3469E">
        <w:t>discussion of this conceptual model</w:t>
      </w:r>
      <w:r w:rsidR="009A645F">
        <w:t>, adapted here in Fig. 1,</w:t>
      </w:r>
      <w:r w:rsidR="00A3469E">
        <w:t xml:space="preserve"> parallels that </w:t>
      </w:r>
      <w:r w:rsidR="00E060A2">
        <w:t>in</w:t>
      </w:r>
      <w:r w:rsidR="00A3469E">
        <w:t xml:space="preserve"> Winters et al. (2020). </w:t>
      </w:r>
      <w:r w:rsidR="0036084C">
        <w:t xml:space="preserve">Prior to jet superposition, </w:t>
      </w:r>
      <w:r w:rsidR="0081321B">
        <w:t xml:space="preserve">the </w:t>
      </w:r>
      <w:r w:rsidR="00AA5928">
        <w:t>large-scale flow pattern</w:t>
      </w:r>
      <w:r w:rsidR="00BA358A">
        <w:t xml:space="preserve"> </w:t>
      </w:r>
      <w:r w:rsidR="002E2943">
        <w:t>features a</w:t>
      </w:r>
      <w:r w:rsidR="00AB1A4D">
        <w:t xml:space="preserve"> polar cyclonic PV anomaly at high latitudes and a tropical anticyclonic PV anomaly at </w:t>
      </w:r>
      <w:r w:rsidR="00AA5928">
        <w:t>subtropical</w:t>
      </w:r>
      <w:r w:rsidR="00AB1A4D">
        <w:t xml:space="preserve"> latitudes</w:t>
      </w:r>
      <w:r w:rsidR="00782771">
        <w:t xml:space="preserve"> </w:t>
      </w:r>
      <w:r w:rsidR="00156474">
        <w:t>(Fig. 1a)</w:t>
      </w:r>
      <w:r w:rsidR="00AB1A4D">
        <w:t xml:space="preserve">. </w:t>
      </w:r>
      <w:r w:rsidR="00164DA3">
        <w:t>P</w:t>
      </w:r>
      <w:r w:rsidR="00AB1A4D">
        <w:t>olar cyclonic PV anomalies</w:t>
      </w:r>
      <w:r w:rsidR="000D7769">
        <w:t xml:space="preserve"> </w:t>
      </w:r>
      <w:r w:rsidR="00401748">
        <w:t>often</w:t>
      </w:r>
      <w:r w:rsidR="00B14788">
        <w:t xml:space="preserve"> </w:t>
      </w:r>
      <w:r w:rsidR="00B86E22">
        <w:t>develop in</w:t>
      </w:r>
      <w:r w:rsidR="006E3906">
        <w:t xml:space="preserve"> </w:t>
      </w:r>
      <w:r w:rsidR="00B86E22">
        <w:t>association</w:t>
      </w:r>
      <w:r w:rsidR="00F0093F">
        <w:t xml:space="preserve"> with </w:t>
      </w:r>
      <w:r w:rsidR="00AB1A4D">
        <w:t xml:space="preserve">coherent tropopause disturbances (e.g., Hakim 2000; Pyle et al. 2004) </w:t>
      </w:r>
      <w:r w:rsidR="00164DA3">
        <w:t>or</w:t>
      </w:r>
      <w:r w:rsidR="00AB1A4D">
        <w:t xml:space="preserve"> tropopause polar vortices (e.g., Cavallo and Hakim 2009, 2010, 2012, 2013)</w:t>
      </w:r>
      <w:r w:rsidR="00E555EB">
        <w:t xml:space="preserve">, </w:t>
      </w:r>
      <w:r w:rsidR="00940FFB">
        <w:t>whereas</w:t>
      </w:r>
      <w:r w:rsidR="005162BC">
        <w:t xml:space="preserve"> </w:t>
      </w:r>
      <w:r w:rsidR="00E555EB">
        <w:t>t</w:t>
      </w:r>
      <w:r w:rsidR="00C3530E">
        <w:t>ropical anticyclonic PV anomalies</w:t>
      </w:r>
      <w:r w:rsidR="00E555EB">
        <w:t xml:space="preserve"> </w:t>
      </w:r>
      <w:r w:rsidR="00401748">
        <w:t>often</w:t>
      </w:r>
      <w:r w:rsidR="000D7769">
        <w:t xml:space="preserve"> </w:t>
      </w:r>
      <w:r w:rsidR="00871D25">
        <w:t>develop in association with</w:t>
      </w:r>
      <w:r w:rsidR="00C3530E">
        <w:t xml:space="preserve"> the transport of </w:t>
      </w:r>
      <w:r w:rsidR="003B19FD">
        <w:t xml:space="preserve">tropical, </w:t>
      </w:r>
      <w:r w:rsidR="00C3530E">
        <w:t>low-PV upper-tropospheric air towards middle latitudes via low-latitude troughs (e.g., Morgan and Nielsen-Gammon 1998; Iskenderian 1995; Roundy et al. 2010; F</w:t>
      </w:r>
      <w:r w:rsidR="00C3530E" w:rsidRPr="00AE2E32">
        <w:t>rö</w:t>
      </w:r>
      <w:r w:rsidR="00C3530E">
        <w:t xml:space="preserve">hlich et al. 2013; Winters and Martin 2016) </w:t>
      </w:r>
      <w:r w:rsidR="00401748">
        <w:t>and</w:t>
      </w:r>
      <w:r w:rsidR="00C3530E">
        <w:t xml:space="preserve"> the </w:t>
      </w:r>
      <w:r w:rsidR="00BA358A">
        <w:t xml:space="preserve">diabatic </w:t>
      </w:r>
      <w:r w:rsidR="00822638">
        <w:t>erosion</w:t>
      </w:r>
      <w:r w:rsidR="00BA358A">
        <w:t xml:space="preserve"> of</w:t>
      </w:r>
      <w:r w:rsidR="00D91BD7">
        <w:t xml:space="preserve"> upper-tropospheric</w:t>
      </w:r>
      <w:r w:rsidR="00BA358A">
        <w:t xml:space="preserve"> PV</w:t>
      </w:r>
      <w:r w:rsidR="00C3530E">
        <w:t xml:space="preserve"> that accompanies widespread </w:t>
      </w:r>
      <w:r w:rsidR="00BA358A">
        <w:t xml:space="preserve">latent heating </w:t>
      </w:r>
      <w:r w:rsidR="00C3530E">
        <w:t xml:space="preserve">(e.g., Lee and Kim 2003; </w:t>
      </w:r>
      <w:r w:rsidR="00C3530E" w:rsidRPr="00F05A66">
        <w:t xml:space="preserve">Agustí-Panareda </w:t>
      </w:r>
      <w:r w:rsidR="00C3530E">
        <w:t>et al. 2004; Ahmadi-Givi et al. 2004; Son and Lee 2005; Grams et al. 2011, 2013; Grams and Archambault 2016; Winters and Martin 2017).</w:t>
      </w:r>
    </w:p>
    <w:p w14:paraId="55055E22" w14:textId="1A9FA2E2" w:rsidR="00C87BC9" w:rsidRDefault="00C3530E" w:rsidP="00F35400">
      <w:pPr>
        <w:spacing w:line="480" w:lineRule="auto"/>
      </w:pPr>
      <w:r>
        <w:tab/>
      </w:r>
      <w:r w:rsidR="00191D75">
        <w:t>T</w:t>
      </w:r>
      <w:r w:rsidR="003F41D4">
        <w:t>he</w:t>
      </w:r>
      <w:r w:rsidR="0076116D">
        <w:t xml:space="preserve"> </w:t>
      </w:r>
      <w:r w:rsidR="003F41D4">
        <w:t>upper-tropospheric jets are</w:t>
      </w:r>
      <w:r w:rsidR="0012492A">
        <w:t xml:space="preserve"> closely</w:t>
      </w:r>
      <w:r w:rsidR="003F41D4">
        <w:t xml:space="preserve"> related to the position</w:t>
      </w:r>
      <w:r w:rsidR="00191D75">
        <w:t>s</w:t>
      </w:r>
      <w:r w:rsidR="003F41D4">
        <w:t xml:space="preserve"> of</w:t>
      </w:r>
      <w:r w:rsidR="00FB7611">
        <w:t xml:space="preserve"> </w:t>
      </w:r>
      <w:r w:rsidR="003F41D4">
        <w:t>polar cyclonic and tropical anticyclonic PV anomalies within the aforementioned conceptual model.</w:t>
      </w:r>
      <w:r w:rsidR="00866752">
        <w:t xml:space="preserve"> </w:t>
      </w:r>
      <w:r w:rsidR="00A67E5A">
        <w:t>In particular</w:t>
      </w:r>
      <w:r w:rsidR="00E555EB">
        <w:t>, t</w:t>
      </w:r>
      <w:r w:rsidR="003F41D4">
        <w:t>he polar jet</w:t>
      </w:r>
      <w:r w:rsidR="00866752">
        <w:t xml:space="preserve"> (e.g., Palmén and Newton 1948; Namias and Clapp 1949; Newton 1954; Palmén and Newton 1969, pp. 197–200, Keyser and Shapiro 1986, pp. 458–461; Shapiro and Keyser 1990) </w:t>
      </w:r>
      <w:r w:rsidR="003F41D4">
        <w:t xml:space="preserve">is located on the equatorward side of </w:t>
      </w:r>
      <w:r w:rsidR="00F861F5">
        <w:t>the</w:t>
      </w:r>
      <w:r w:rsidR="003F41D4">
        <w:t xml:space="preserve"> polar cyclonic PV anomaly</w:t>
      </w:r>
      <w:r w:rsidR="00966417">
        <w:t>,</w:t>
      </w:r>
      <w:r w:rsidR="003F41D4">
        <w:t xml:space="preserve"> </w:t>
      </w:r>
      <w:r w:rsidR="00947DCC">
        <w:t>while</w:t>
      </w:r>
      <w:r w:rsidR="00866752">
        <w:t xml:space="preserve"> the subtropical jet (e.g., </w:t>
      </w:r>
      <w:r w:rsidR="00866752">
        <w:lastRenderedPageBreak/>
        <w:t xml:space="preserve">Starr 1948; Loewe and Radok 1950; Yeh 1950; Koteswaram 1953; Mohri 1953; Koteswaram and Parthasarathy 1954; Sutcliffe and Bannon 1954; Krishnamurti 1961; Riehl 1962) is located on the poleward side of </w:t>
      </w:r>
      <w:r w:rsidR="00FB7611">
        <w:t>the</w:t>
      </w:r>
      <w:r w:rsidR="00866752">
        <w:t xml:space="preserve"> tropical anticyclonic PV anomaly (Fig. 1a).</w:t>
      </w:r>
      <w:r w:rsidR="00A96481">
        <w:t xml:space="preserve"> </w:t>
      </w:r>
      <w:r w:rsidR="005F1D8F">
        <w:t>A</w:t>
      </w:r>
      <w:r w:rsidR="004F38FC">
        <w:t xml:space="preserve"> jet superposition</w:t>
      </w:r>
      <w:r w:rsidR="006C3FBB">
        <w:t xml:space="preserve"> </w:t>
      </w:r>
      <w:r w:rsidR="000E375C">
        <w:t>occurs when</w:t>
      </w:r>
      <w:r w:rsidR="00E429E1">
        <w:t xml:space="preserve"> the initially separate</w:t>
      </w:r>
      <w:r w:rsidR="000E375C">
        <w:t xml:space="preserve"> polar cyclonic and tropical anticyclonic PV anomalies become juxtaposed at middle latitudes</w:t>
      </w:r>
      <w:r w:rsidR="004F38FC">
        <w:t xml:space="preserve">. </w:t>
      </w:r>
      <w:r w:rsidR="00816DA5">
        <w:t>The</w:t>
      </w:r>
      <w:r w:rsidR="004F38FC">
        <w:t xml:space="preserve"> idealized vertical cross section</w:t>
      </w:r>
      <w:r w:rsidR="002B5F9B">
        <w:t xml:space="preserve"> </w:t>
      </w:r>
      <w:r w:rsidR="00816DA5">
        <w:t>in Fig. 1c</w:t>
      </w:r>
      <w:r w:rsidR="004F38FC">
        <w:t xml:space="preserve"> reveals </w:t>
      </w:r>
      <w:r w:rsidR="00816DA5">
        <w:t>that jet superpositions are associated with a</w:t>
      </w:r>
      <w:r w:rsidR="004F38FC">
        <w:t xml:space="preserve"> steep, single-step pole-to-equator tropopause structure</w:t>
      </w:r>
      <w:r w:rsidR="00FB7D28">
        <w:t xml:space="preserve">, </w:t>
      </w:r>
      <w:r w:rsidR="00F35400">
        <w:t>rather than the two-step</w:t>
      </w:r>
      <w:r w:rsidR="00A7156D">
        <w:t xml:space="preserve"> tropopause</w:t>
      </w:r>
      <w:r w:rsidR="00F35400">
        <w:t xml:space="preserve"> structure </w:t>
      </w:r>
      <w:r w:rsidR="00212295">
        <w:t xml:space="preserve">that characterizes </w:t>
      </w:r>
      <w:r w:rsidR="00D34FFF">
        <w:t>the</w:t>
      </w:r>
      <w:r w:rsidR="00026890">
        <w:t xml:space="preserve"> </w:t>
      </w:r>
      <w:r w:rsidR="00FB7D28">
        <w:t xml:space="preserve">vertical cross section through separate polar and subtropical jets </w:t>
      </w:r>
      <w:r w:rsidR="00F35400">
        <w:t>in Fig. 1b</w:t>
      </w:r>
      <w:r w:rsidR="00FB7D28">
        <w:t>. Jet superpositions a</w:t>
      </w:r>
      <w:r w:rsidR="009544D2">
        <w:t xml:space="preserve">re also marked by </w:t>
      </w:r>
      <w:r w:rsidR="004F38FC">
        <w:t>strong baroclinicity in the upper troposphere and lower stratosphere</w:t>
      </w:r>
      <w:r w:rsidR="00FB7D28">
        <w:t xml:space="preserve">, </w:t>
      </w:r>
      <w:r w:rsidR="004E075C">
        <w:t>and strong wind speeds that result from the</w:t>
      </w:r>
      <w:r w:rsidR="00932DB1">
        <w:t xml:space="preserve"> </w:t>
      </w:r>
      <w:r w:rsidR="00AA63A1">
        <w:t>addition</w:t>
      </w:r>
      <w:r w:rsidR="004E075C">
        <w:t xml:space="preserve"> of the nondivergent circulations induced by each</w:t>
      </w:r>
      <w:r w:rsidR="00401748">
        <w:t xml:space="preserve"> respective</w:t>
      </w:r>
      <w:r w:rsidR="00816DA5">
        <w:t xml:space="preserve"> </w:t>
      </w:r>
      <w:r w:rsidR="004E075C">
        <w:t>PV anomaly</w:t>
      </w:r>
      <w:r w:rsidR="00026890">
        <w:t xml:space="preserve"> (Fig. 1c)</w:t>
      </w:r>
      <w:r w:rsidR="004E075C">
        <w:t>.</w:t>
      </w:r>
    </w:p>
    <w:p w14:paraId="6A74EAA9" w14:textId="24F053F9" w:rsidR="009D5EFE" w:rsidRDefault="000F1545" w:rsidP="00FA1011">
      <w:pPr>
        <w:widowControl w:val="0"/>
        <w:spacing w:line="480" w:lineRule="auto"/>
      </w:pPr>
      <w:r>
        <w:tab/>
      </w:r>
      <w:r w:rsidR="00D312EF">
        <w:t>T</w:t>
      </w:r>
      <w:r w:rsidR="007914E7">
        <w:t>he nature by which</w:t>
      </w:r>
      <w:r w:rsidR="006622A1">
        <w:t xml:space="preserve"> </w:t>
      </w:r>
      <w:r w:rsidR="007914E7">
        <w:t xml:space="preserve">polar cyclonic and tropical anticyclonic PV anomalies interact prior to a jet superposition </w:t>
      </w:r>
      <w:r w:rsidR="00963CAE">
        <w:t>varies across events</w:t>
      </w:r>
      <w:r w:rsidR="000C6C03">
        <w:t xml:space="preserve"> </w:t>
      </w:r>
      <w:r w:rsidR="00FA1011">
        <w:t xml:space="preserve">(Winters and Martin 2016). </w:t>
      </w:r>
      <w:r w:rsidR="006E3BA3">
        <w:t xml:space="preserve">To </w:t>
      </w:r>
      <w:r w:rsidR="009F198C">
        <w:t>characterize this variability</w:t>
      </w:r>
      <w:r w:rsidR="006E3BA3">
        <w:t xml:space="preserve">, </w:t>
      </w:r>
      <w:r w:rsidR="001F072F">
        <w:t xml:space="preserve">Winters et al. (2020) </w:t>
      </w:r>
      <w:r w:rsidR="00771281">
        <w:t>conducted</w:t>
      </w:r>
      <w:r w:rsidR="00BF2353">
        <w:t xml:space="preserve"> a</w:t>
      </w:r>
      <w:r w:rsidR="0000056C">
        <w:t xml:space="preserve"> climatological </w:t>
      </w:r>
      <w:r w:rsidR="00BF2353">
        <w:t>analysis of</w:t>
      </w:r>
      <w:r w:rsidR="005B5EEF">
        <w:t xml:space="preserve"> North American</w:t>
      </w:r>
      <w:r w:rsidR="007E33F2">
        <w:t xml:space="preserve"> </w:t>
      </w:r>
      <w:r w:rsidR="001F072F">
        <w:t>jet superposition event</w:t>
      </w:r>
      <w:r w:rsidR="007E33F2">
        <w:t>s</w:t>
      </w:r>
      <w:r w:rsidR="00001215">
        <w:t xml:space="preserve"> </w:t>
      </w:r>
      <w:r w:rsidR="00C450E9">
        <w:t>by classifying events</w:t>
      </w:r>
      <w:r w:rsidR="0000056C">
        <w:t xml:space="preserve"> in the National Centers for Environmental Prediction Climate Forecast System Reanalysis (CFSR; Saha et al. 2010)</w:t>
      </w:r>
      <w:r w:rsidR="00C450E9">
        <w:t xml:space="preserve"> </w:t>
      </w:r>
      <w:r w:rsidR="001F072F">
        <w:t xml:space="preserve">based on the </w:t>
      </w:r>
      <w:r w:rsidR="005C6E1A">
        <w:t>extent</w:t>
      </w:r>
      <w:r w:rsidR="001F072F">
        <w:t xml:space="preserve"> to which the polar and subtropical jets deviated from the</w:t>
      </w:r>
      <w:r w:rsidR="00B1337B">
        <w:t>ir</w:t>
      </w:r>
      <w:r w:rsidR="001F072F">
        <w:t xml:space="preserve"> respective climatological </w:t>
      </w:r>
      <w:r w:rsidR="007E33F2">
        <w:t>locations</w:t>
      </w:r>
      <w:r w:rsidR="001F072F">
        <w:t xml:space="preserve"> to </w:t>
      </w:r>
      <w:r w:rsidR="007E33F2">
        <w:t>form a superposition</w:t>
      </w:r>
      <w:r w:rsidR="001F072F">
        <w:t xml:space="preserve">. </w:t>
      </w:r>
      <w:r w:rsidR="00C450E9">
        <w:t>“</w:t>
      </w:r>
      <w:r w:rsidR="00D15BAD">
        <w:t>P</w:t>
      </w:r>
      <w:r w:rsidR="001F072F">
        <w:t>olar dominant</w:t>
      </w:r>
      <w:r w:rsidR="00C450E9">
        <w:t>”</w:t>
      </w:r>
      <w:r w:rsidR="001F072F">
        <w:t xml:space="preserve"> </w:t>
      </w:r>
      <w:r w:rsidR="008D5C39">
        <w:t>events</w:t>
      </w:r>
      <w:r w:rsidR="00D15BAD">
        <w:t xml:space="preserve"> were classified</w:t>
      </w:r>
      <w:r w:rsidR="008D5C39">
        <w:t xml:space="preserve"> </w:t>
      </w:r>
      <w:r w:rsidR="00A14583">
        <w:t xml:space="preserve">as </w:t>
      </w:r>
      <w:r w:rsidR="001F072F">
        <w:t>those events in which the polar jet superpose</w:t>
      </w:r>
      <w:r w:rsidR="006264CF">
        <w:t>s</w:t>
      </w:r>
      <w:r w:rsidR="001F072F">
        <w:t xml:space="preserve"> with the subtropical jet near </w:t>
      </w:r>
      <w:r w:rsidR="006264CF">
        <w:t>the</w:t>
      </w:r>
      <w:r w:rsidR="001F072F">
        <w:t xml:space="preserve"> climatological </w:t>
      </w:r>
      <w:r w:rsidR="007E33F2">
        <w:t>location</w:t>
      </w:r>
      <w:r w:rsidR="006264CF">
        <w:t xml:space="preserve"> </w:t>
      </w:r>
      <w:r w:rsidR="004A4D85">
        <w:t>of the subtropical jet</w:t>
      </w:r>
      <w:r w:rsidR="00D15BAD">
        <w:t xml:space="preserve">, </w:t>
      </w:r>
      <w:r w:rsidR="003219C6">
        <w:t>while</w:t>
      </w:r>
      <w:r w:rsidR="007E33F2">
        <w:t xml:space="preserve"> </w:t>
      </w:r>
      <w:r w:rsidR="00C450E9">
        <w:t>“</w:t>
      </w:r>
      <w:r w:rsidR="007E33F2">
        <w:t>s</w:t>
      </w:r>
      <w:r w:rsidR="000C4F29">
        <w:t>ubtropical dominant</w:t>
      </w:r>
      <w:r w:rsidR="00C450E9">
        <w:t>”</w:t>
      </w:r>
      <w:r w:rsidR="000C4F29">
        <w:t xml:space="preserve"> events were classified as those events in which the subtropical jet superpose</w:t>
      </w:r>
      <w:r w:rsidR="004A4D85">
        <w:t>s</w:t>
      </w:r>
      <w:r w:rsidR="000C4F29">
        <w:t xml:space="preserve"> with the polar jet near</w:t>
      </w:r>
      <w:r w:rsidR="004A4D85">
        <w:t xml:space="preserve"> the</w:t>
      </w:r>
      <w:r w:rsidR="000C4F29">
        <w:t xml:space="preserve"> climatological </w:t>
      </w:r>
      <w:r w:rsidR="007E33F2">
        <w:t>location</w:t>
      </w:r>
      <w:r w:rsidR="004A4D85">
        <w:t xml:space="preserve"> of the polar jet</w:t>
      </w:r>
      <w:r w:rsidR="007E33F2">
        <w:t>.</w:t>
      </w:r>
      <w:r w:rsidR="0029435F">
        <w:t xml:space="preserve"> </w:t>
      </w:r>
      <w:r w:rsidR="00DF7947">
        <w:t>Whereas</w:t>
      </w:r>
      <w:r w:rsidR="00E65AE5">
        <w:t xml:space="preserve"> polar dominant events</w:t>
      </w:r>
      <w:r w:rsidR="0033655F">
        <w:t xml:space="preserve"> often develop</w:t>
      </w:r>
      <w:r w:rsidR="001567F1">
        <w:t xml:space="preserve"> </w:t>
      </w:r>
      <w:r w:rsidR="00957B5E">
        <w:t>near the U.S. Gulf Coast and the U.S./Mexico border</w:t>
      </w:r>
      <w:r w:rsidR="00E65AE5">
        <w:t>, subtropical dominant events</w:t>
      </w:r>
      <w:r w:rsidR="00392D66">
        <w:t xml:space="preserve"> </w:t>
      </w:r>
      <w:r w:rsidR="00333811">
        <w:t xml:space="preserve">preferentially </w:t>
      </w:r>
      <w:r w:rsidR="00771281">
        <w:t>develop</w:t>
      </w:r>
      <w:r w:rsidR="00596548">
        <w:t xml:space="preserve"> </w:t>
      </w:r>
      <w:r w:rsidR="00C9713F">
        <w:t>on</w:t>
      </w:r>
      <w:r w:rsidR="00FA1011">
        <w:t xml:space="preserve"> </w:t>
      </w:r>
      <w:r w:rsidR="00E65AE5">
        <w:t>the east</w:t>
      </w:r>
      <w:r w:rsidR="006E3BA3">
        <w:t>ern</w:t>
      </w:r>
      <w:r w:rsidR="00E65AE5">
        <w:t xml:space="preserve"> </w:t>
      </w:r>
      <w:r w:rsidR="00596548">
        <w:t>and</w:t>
      </w:r>
      <w:r w:rsidR="00E65AE5">
        <w:t xml:space="preserve"> west</w:t>
      </w:r>
      <w:r w:rsidR="006E3BA3">
        <w:t>ern</w:t>
      </w:r>
      <w:r w:rsidR="00E65AE5">
        <w:t xml:space="preserve"> coasts of North America </w:t>
      </w:r>
      <w:r w:rsidR="00E65AE5">
        <w:lastRenderedPageBreak/>
        <w:t>(Winters et al. 2020; their Fig. 4</w:t>
      </w:r>
      <w:r w:rsidR="005B5EEF">
        <w:t xml:space="preserve">). </w:t>
      </w:r>
      <w:r w:rsidR="001426F0">
        <w:t xml:space="preserve">The </w:t>
      </w:r>
      <w:r w:rsidR="009F198C">
        <w:t>latter observation</w:t>
      </w:r>
      <w:r w:rsidR="001426F0">
        <w:t xml:space="preserve"> motivated Winters et al. (2020) to </w:t>
      </w:r>
      <w:r w:rsidR="00C37CC9">
        <w:t>consider a</w:t>
      </w:r>
      <w:r w:rsidR="001426F0">
        <w:t xml:space="preserve"> separate eastern category and western category of subtropical dominant events.</w:t>
      </w:r>
    </w:p>
    <w:p w14:paraId="4E0A3130" w14:textId="1400C49D" w:rsidR="004436C0" w:rsidRDefault="0018342F" w:rsidP="0031436E">
      <w:pPr>
        <w:widowControl w:val="0"/>
        <w:spacing w:line="480" w:lineRule="auto"/>
      </w:pPr>
      <w:r>
        <w:tab/>
      </w:r>
      <w:r w:rsidR="00D91BD7">
        <w:t xml:space="preserve">Across </w:t>
      </w:r>
      <w:r w:rsidR="008A1DDF">
        <w:t>all</w:t>
      </w:r>
      <w:r w:rsidR="00D91BD7">
        <w:t xml:space="preserve"> jet superposition event types, t</w:t>
      </w:r>
      <w:r w:rsidR="00B7080E">
        <w:t>he</w:t>
      </w:r>
      <w:r w:rsidR="00740BBF">
        <w:t xml:space="preserve"> three-dimensional divergent circulation</w:t>
      </w:r>
      <w:r w:rsidR="00C7784C">
        <w:t xml:space="preserve"> within the near-jet environment</w:t>
      </w:r>
      <w:r w:rsidR="00740BBF">
        <w:t xml:space="preserve"> </w:t>
      </w:r>
      <w:r w:rsidR="00CE1BF0">
        <w:t>strongly influences</w:t>
      </w:r>
      <w:r w:rsidR="00C7784C">
        <w:t xml:space="preserve"> the development of </w:t>
      </w:r>
      <w:r w:rsidR="008A1DDF">
        <w:t>the</w:t>
      </w:r>
      <w:r w:rsidR="002D1DCA">
        <w:t xml:space="preserve"> </w:t>
      </w:r>
      <w:r w:rsidR="00C7784C">
        <w:t>steep, single-step tropopause structure</w:t>
      </w:r>
      <w:r w:rsidR="00CE21E5">
        <w:t xml:space="preserve"> </w:t>
      </w:r>
      <w:r w:rsidR="008A1DDF">
        <w:t>that characterizes a</w:t>
      </w:r>
      <w:r w:rsidR="00231630">
        <w:t xml:space="preserve"> superposition</w:t>
      </w:r>
      <w:r>
        <w:t xml:space="preserve">. </w:t>
      </w:r>
      <w:r w:rsidR="00B7080E">
        <w:t>In particular</w:t>
      </w:r>
      <w:r w:rsidR="00A06629">
        <w:t>, latent heating associated with</w:t>
      </w:r>
      <w:r w:rsidR="00117EE7">
        <w:t xml:space="preserve"> moist</w:t>
      </w:r>
      <w:r w:rsidR="00A06629">
        <w:t xml:space="preserve"> </w:t>
      </w:r>
      <w:r w:rsidR="00B7080E">
        <w:t xml:space="preserve">ascent </w:t>
      </w:r>
      <w:r w:rsidR="00957E50">
        <w:t>in</w:t>
      </w:r>
      <w:r w:rsidR="00B7080E">
        <w:t xml:space="preserve"> the near-jet environment </w:t>
      </w:r>
      <w:r w:rsidR="00F32EB3">
        <w:t>influences</w:t>
      </w:r>
      <w:r w:rsidR="00A06629">
        <w:t xml:space="preserve"> the development of a steep, single-step tropopause structure during</w:t>
      </w:r>
      <w:r w:rsidR="00B7080E">
        <w:t xml:space="preserve"> both</w:t>
      </w:r>
      <w:r w:rsidR="00A06629">
        <w:t xml:space="preserve"> subtropical dominant event</w:t>
      </w:r>
      <w:r w:rsidR="00B7080E">
        <w:t xml:space="preserve"> types</w:t>
      </w:r>
      <w:r w:rsidR="00A06629">
        <w:t xml:space="preserve"> via the diabatic </w:t>
      </w:r>
      <w:r w:rsidR="00B7080E">
        <w:t>redistribution</w:t>
      </w:r>
      <w:r w:rsidR="00A06629">
        <w:t xml:space="preserve"> of upper-tropospheric PV on the equatorward side of the jet (Winters et al. 2020; their Figs. 10</w:t>
      </w:r>
      <w:r w:rsidR="00F32EB3">
        <w:t>a</w:t>
      </w:r>
      <w:r w:rsidR="00A06629">
        <w:t xml:space="preserve"> and 13</w:t>
      </w:r>
      <w:r w:rsidR="00F32EB3">
        <w:t>a</w:t>
      </w:r>
      <w:r w:rsidR="00A06629">
        <w:t>). The three-dimensional divergent circulation also acts to steepen the</w:t>
      </w:r>
      <w:r w:rsidR="00241028">
        <w:t xml:space="preserve"> slope of the</w:t>
      </w:r>
      <w:r w:rsidR="00A06629">
        <w:t xml:space="preserve"> tropopause</w:t>
      </w:r>
      <w:r w:rsidR="008A1DDF">
        <w:t xml:space="preserve"> mechanically</w:t>
      </w:r>
      <w:r w:rsidR="00A06629">
        <w:t xml:space="preserve"> during</w:t>
      </w:r>
      <w:r w:rsidR="00241028">
        <w:t xml:space="preserve"> both</w:t>
      </w:r>
      <w:r w:rsidR="00A06629">
        <w:t xml:space="preserve"> subtropical dominant event</w:t>
      </w:r>
      <w:r w:rsidR="00241028">
        <w:t xml:space="preserve"> types</w:t>
      </w:r>
      <w:r w:rsidR="00A06629">
        <w:t xml:space="preserve"> via negative PV advection </w:t>
      </w:r>
      <w:r w:rsidR="000D3C25">
        <w:t>at the level of</w:t>
      </w:r>
      <w:r w:rsidR="00A06629">
        <w:t xml:space="preserve"> the dynamic tropopause. </w:t>
      </w:r>
      <w:r w:rsidR="00740BBF">
        <w:t>During polar dominant events, however,</w:t>
      </w:r>
      <w:r w:rsidR="00A06629">
        <w:t xml:space="preserve"> these two processes</w:t>
      </w:r>
      <w:r w:rsidR="003765DD">
        <w:t xml:space="preserve"> are located </w:t>
      </w:r>
      <w:r w:rsidR="008C6029">
        <w:t>well</w:t>
      </w:r>
      <w:r w:rsidR="003765DD">
        <w:t xml:space="preserve"> downstream</w:t>
      </w:r>
      <w:r w:rsidR="00241028">
        <w:t xml:space="preserve"> of the location of jet superposition</w:t>
      </w:r>
      <w:r w:rsidR="003765DD">
        <w:t xml:space="preserve"> </w:t>
      </w:r>
      <w:r w:rsidR="008C6029">
        <w:t xml:space="preserve">and do not directly </w:t>
      </w:r>
      <w:r w:rsidR="00A06629">
        <w:t>influence the formation of a steep, single-step tropopause structure</w:t>
      </w:r>
      <w:r w:rsidR="003765DD">
        <w:t xml:space="preserve"> (Winters et al. 2020; their Fig. 6)</w:t>
      </w:r>
      <w:r w:rsidR="00A06629">
        <w:t>.</w:t>
      </w:r>
      <w:r w:rsidR="00DE2E60">
        <w:t xml:space="preserve"> </w:t>
      </w:r>
      <w:r w:rsidR="001259A0">
        <w:t>T</w:t>
      </w:r>
      <w:r w:rsidR="00A97B84">
        <w:t xml:space="preserve">he </w:t>
      </w:r>
      <w:r w:rsidR="00581314">
        <w:t>presence</w:t>
      </w:r>
      <w:r w:rsidR="00A97B84">
        <w:t xml:space="preserve"> of descent beneath the jet-entrance region </w:t>
      </w:r>
      <w:r w:rsidR="008A21E9">
        <w:t>at</w:t>
      </w:r>
      <w:r w:rsidR="00A97B84">
        <w:t xml:space="preserve"> the time of jet superposition</w:t>
      </w:r>
      <w:r w:rsidR="00D90E80">
        <w:t xml:space="preserve"> </w:t>
      </w:r>
      <w:r w:rsidR="00E60547">
        <w:t>is</w:t>
      </w:r>
      <w:r w:rsidR="001259A0">
        <w:t xml:space="preserve"> </w:t>
      </w:r>
      <w:r w:rsidR="007825AD">
        <w:t xml:space="preserve">a similarity </w:t>
      </w:r>
      <w:r w:rsidR="00E60547">
        <w:t>across</w:t>
      </w:r>
      <w:r w:rsidR="007825AD">
        <w:t xml:space="preserve"> all </w:t>
      </w:r>
      <w:r w:rsidR="00957E50">
        <w:t xml:space="preserve">jet superposition </w:t>
      </w:r>
      <w:r w:rsidR="007825AD">
        <w:t>event types</w:t>
      </w:r>
      <w:r w:rsidR="00CE21E5">
        <w:t xml:space="preserve"> </w:t>
      </w:r>
      <w:r w:rsidR="009F2230">
        <w:t>(Figs. 2a,c,e)</w:t>
      </w:r>
      <w:r w:rsidR="001259A0">
        <w:t xml:space="preserve">. </w:t>
      </w:r>
      <w:r w:rsidR="009F2230">
        <w:t>T</w:t>
      </w:r>
      <w:r w:rsidR="00054FD2">
        <w:t xml:space="preserve">his </w:t>
      </w:r>
      <w:r w:rsidR="00A97B84">
        <w:t>descent</w:t>
      </w:r>
      <w:r w:rsidR="00C1379F">
        <w:t xml:space="preserve"> </w:t>
      </w:r>
      <w:r w:rsidR="0057365D">
        <w:t>facilitates</w:t>
      </w:r>
      <w:r w:rsidR="003A4272">
        <w:t xml:space="preserve"> </w:t>
      </w:r>
      <w:r w:rsidR="00F31B25">
        <w:t>positive</w:t>
      </w:r>
      <w:r w:rsidR="003A4272">
        <w:t xml:space="preserve"> PV advection </w:t>
      </w:r>
      <w:r w:rsidR="00C1379F">
        <w:t>in the vicinity of the</w:t>
      </w:r>
      <w:r w:rsidR="00A6352D">
        <w:t xml:space="preserve"> tropopause height minimum</w:t>
      </w:r>
      <w:r w:rsidR="003A4272">
        <w:t xml:space="preserve"> </w:t>
      </w:r>
      <w:r w:rsidR="00E60547">
        <w:t>(</w:t>
      </w:r>
      <w:r w:rsidR="003A4272">
        <w:t>Figs</w:t>
      </w:r>
      <w:r w:rsidR="00BB4214">
        <w:t>.</w:t>
      </w:r>
      <w:r w:rsidR="003A4272">
        <w:t xml:space="preserve"> </w:t>
      </w:r>
      <w:r w:rsidR="001259A0">
        <w:t>2</w:t>
      </w:r>
      <w:r w:rsidR="003A4272">
        <w:t>b,d,f</w:t>
      </w:r>
      <w:r w:rsidR="00E60547">
        <w:t>)</w:t>
      </w:r>
      <w:r w:rsidR="003A4272">
        <w:t>, and</w:t>
      </w:r>
      <w:r w:rsidR="00276580">
        <w:t xml:space="preserve"> </w:t>
      </w:r>
      <w:r w:rsidR="00C1379F">
        <w:t xml:space="preserve">contributes </w:t>
      </w:r>
      <w:r w:rsidR="009B53E5">
        <w:t>to</w:t>
      </w:r>
      <w:r w:rsidR="000C3AED">
        <w:t xml:space="preserve"> </w:t>
      </w:r>
      <w:r w:rsidR="00A97B84">
        <w:t>the formation of a steep, single-step tropopause</w:t>
      </w:r>
      <w:r w:rsidR="00F61889">
        <w:t xml:space="preserve"> structure</w:t>
      </w:r>
      <w:r w:rsidR="00A97B84">
        <w:t xml:space="preserve"> in all </w:t>
      </w:r>
      <w:r w:rsidR="003A4272">
        <w:t>event types</w:t>
      </w:r>
      <w:r w:rsidR="00A97B84">
        <w:t xml:space="preserve"> via the downward advection of high-PV</w:t>
      </w:r>
      <w:r w:rsidR="001E0FC2">
        <w:t xml:space="preserve"> stratospheric</w:t>
      </w:r>
      <w:r w:rsidR="00A97B84">
        <w:t xml:space="preserve"> air.</w:t>
      </w:r>
      <w:r w:rsidR="00500099">
        <w:t xml:space="preserve"> </w:t>
      </w:r>
      <w:r w:rsidR="00957E50">
        <w:t>Considered together</w:t>
      </w:r>
      <w:r w:rsidR="00BF7C05">
        <w:t xml:space="preserve">, </w:t>
      </w:r>
      <w:r w:rsidR="00231630">
        <w:t xml:space="preserve">the </w:t>
      </w:r>
      <w:r w:rsidR="0016228F">
        <w:t>varied</w:t>
      </w:r>
      <w:r w:rsidR="00FA0F81">
        <w:t xml:space="preserve"> </w:t>
      </w:r>
      <w:r w:rsidR="00F71A0A">
        <w:t>influence</w:t>
      </w:r>
      <w:r w:rsidR="00340F92">
        <w:t xml:space="preserve"> of vertical motion </w:t>
      </w:r>
      <w:r w:rsidR="00C1379F">
        <w:t>during</w:t>
      </w:r>
      <w:r w:rsidR="00340F92">
        <w:t xml:space="preserve"> the </w:t>
      </w:r>
      <w:r w:rsidR="00500099">
        <w:t>production of each jet superposition event type</w:t>
      </w:r>
      <w:r w:rsidR="002A7D7D">
        <w:t xml:space="preserve"> </w:t>
      </w:r>
      <w:r w:rsidR="00331794">
        <w:t>motivate</w:t>
      </w:r>
      <w:r w:rsidR="00A32123">
        <w:t>s</w:t>
      </w:r>
      <w:r w:rsidR="00FC587B">
        <w:t xml:space="preserve"> </w:t>
      </w:r>
      <w:r w:rsidR="00111191">
        <w:t xml:space="preserve">further </w:t>
      </w:r>
      <w:r w:rsidR="00FC587B">
        <w:t xml:space="preserve">investigation </w:t>
      </w:r>
      <w:r w:rsidR="00340F92">
        <w:t xml:space="preserve">into the dynamical processes </w:t>
      </w:r>
      <w:r w:rsidR="0016228F">
        <w:t>responsible for the</w:t>
      </w:r>
      <w:r w:rsidR="00340F92">
        <w:t xml:space="preserve"> </w:t>
      </w:r>
      <w:r w:rsidR="00B1563A">
        <w:t>produc</w:t>
      </w:r>
      <w:r w:rsidR="0016228F">
        <w:t>tion of</w:t>
      </w:r>
      <w:r w:rsidR="00340F92">
        <w:t xml:space="preserve"> vertical motion during jet superpositions</w:t>
      </w:r>
      <w:r w:rsidR="00FC587B">
        <w:t xml:space="preserve">. </w:t>
      </w:r>
    </w:p>
    <w:p w14:paraId="01122223" w14:textId="284EA712" w:rsidR="00DA2D88" w:rsidRDefault="004436C0" w:rsidP="0031436E">
      <w:pPr>
        <w:widowControl w:val="0"/>
        <w:spacing w:line="480" w:lineRule="auto"/>
      </w:pPr>
      <w:r>
        <w:tab/>
      </w:r>
      <w:r w:rsidR="00D15D02">
        <w:t xml:space="preserve">Of particular interest is a desire to determine the relative influence that polar cyclonic and tropical anticyclonic PV anomalies have on the production of vertical motion during each event </w:t>
      </w:r>
      <w:r w:rsidR="00D15D02">
        <w:lastRenderedPageBreak/>
        <w:t>type. A</w:t>
      </w:r>
      <w:r w:rsidR="00DA2D88">
        <w:t xml:space="preserve"> PV framework provides an </w:t>
      </w:r>
      <w:r w:rsidR="00D15D02">
        <w:t xml:space="preserve">effective </w:t>
      </w:r>
      <w:r w:rsidR="00DA2D88">
        <w:t xml:space="preserve">approach </w:t>
      </w:r>
      <w:r w:rsidR="00D15D02">
        <w:t>for</w:t>
      </w:r>
      <w:r w:rsidR="00DA2D88">
        <w:t xml:space="preserve"> quantify</w:t>
      </w:r>
      <w:r w:rsidR="00D15D02">
        <w:t>ing</w:t>
      </w:r>
      <w:r w:rsidR="008E52D2">
        <w:t xml:space="preserve"> </w:t>
      </w:r>
      <w:r w:rsidR="00DA2D88">
        <w:t xml:space="preserve">the influence of polar cyclonic and tropical anticyclonic PV anomalies on the production of vertical motion </w:t>
      </w:r>
      <w:r w:rsidR="003027D4">
        <w:t>within the near-jet environment</w:t>
      </w:r>
      <w:r w:rsidR="00DA2D88">
        <w:t xml:space="preserve">. Namely, knowledge of the PV distribution, suitable balance and boundary conditions, and a reference temperature profile permit a calculation of the mass and wind fields attributable to that PV distribution using PV inversion (e.g., Hoskins et al. 1985, pp. 883–885; Thorpe 1985; Robinson 1988; Holopainen and Kaurola 1991; Davis and Emanuel 1991). In turn, the vertical motion pattern associated with the calculated mass and wind fields can be determined using an </w:t>
      </w:r>
      <m:oMath>
        <m:r>
          <w:rPr>
            <w:rFonts w:ascii="Cambria Math" w:hAnsi="Cambria Math"/>
          </w:rPr>
          <m:t>ω</m:t>
        </m:r>
      </m:oMath>
      <w:r w:rsidR="00DA2D88">
        <w:t xml:space="preserve">-equation that is consistent with the balance condition used to perform the aforementioned PV inversion. The application of </w:t>
      </w:r>
      <w:r w:rsidR="001E4FCA">
        <w:t xml:space="preserve">PV inversion has shown considerable utility </w:t>
      </w:r>
      <w:r w:rsidR="001E72DA">
        <w:t>for</w:t>
      </w:r>
      <w:r w:rsidR="0028291C">
        <w:t xml:space="preserve"> </w:t>
      </w:r>
      <w:r w:rsidR="001E72DA">
        <w:t>investigating</w:t>
      </w:r>
      <w:r w:rsidR="00BD42EE">
        <w:t xml:space="preserve"> a variety of</w:t>
      </w:r>
      <w:r w:rsidR="001E72DA">
        <w:t xml:space="preserve"> </w:t>
      </w:r>
      <w:r w:rsidR="00973950">
        <w:t>characteristics of the</w:t>
      </w:r>
      <w:r w:rsidR="001E4FCA">
        <w:t xml:space="preserve"> </w:t>
      </w:r>
      <w:r w:rsidR="00AD2D44">
        <w:t xml:space="preserve">atmospheric flow </w:t>
      </w:r>
      <w:r w:rsidR="001E72DA">
        <w:t>pattern</w:t>
      </w:r>
      <w:r w:rsidR="0028291C">
        <w:t>,</w:t>
      </w:r>
      <w:r w:rsidR="00AD2D44">
        <w:t xml:space="preserve"> such as </w:t>
      </w:r>
      <w:r w:rsidR="0039283D">
        <w:t>flow in the middle atmosphere (e.g., Robinson 1988), the planetary-scale tropospheric flow (e.g., Holopainen and Kaurola 1991), surface cyclogenesis (e.g., Davis and Emanuel 1991; Black and Dole 1993; Hakim et al. 1996; Nielsen-Gammon and Lefevre 1996), tropopause folding (e.g., Wandishin et al. 2000), and upper-tropospheric blocking events (e.g., Breeden and Martin 2018, 2019).</w:t>
      </w:r>
    </w:p>
    <w:p w14:paraId="539C669F" w14:textId="1E79FE6C" w:rsidR="00BB798A" w:rsidRDefault="008E52D2" w:rsidP="0031436E">
      <w:pPr>
        <w:widowControl w:val="0"/>
        <w:spacing w:line="480" w:lineRule="auto"/>
      </w:pPr>
      <w:r>
        <w:tab/>
      </w:r>
      <w:r w:rsidR="009E3294">
        <w:t xml:space="preserve">The </w:t>
      </w:r>
      <w:r w:rsidR="002D5003">
        <w:t>proposed application of PV inversion</w:t>
      </w:r>
      <w:r w:rsidR="008440BE">
        <w:t xml:space="preserve"> in this study</w:t>
      </w:r>
      <w:r w:rsidR="002D5003">
        <w:t xml:space="preserve"> is similar to that employed by</w:t>
      </w:r>
      <w:r w:rsidR="0034429F">
        <w:t xml:space="preserve"> Winters and Martin (2017) </w:t>
      </w:r>
      <w:r w:rsidR="00A5479C">
        <w:t>for</w:t>
      </w:r>
      <w:r w:rsidR="0034429F">
        <w:t xml:space="preserve"> a jet superposition</w:t>
      </w:r>
      <w:r w:rsidR="00E72EC3">
        <w:t xml:space="preserve"> event</w:t>
      </w:r>
      <w:r w:rsidR="0034429F">
        <w:t xml:space="preserve"> </w:t>
      </w:r>
      <w:r w:rsidR="00A5479C">
        <w:t xml:space="preserve">that </w:t>
      </w:r>
      <w:r w:rsidR="00124981">
        <w:t>coincided</w:t>
      </w:r>
      <w:r w:rsidR="00A5479C">
        <w:t xml:space="preserve"> with</w:t>
      </w:r>
      <w:r w:rsidR="000959AC">
        <w:t xml:space="preserve"> the</w:t>
      </w:r>
      <w:r w:rsidR="0034429F">
        <w:t xml:space="preserve"> </w:t>
      </w:r>
      <w:r w:rsidR="001178D4">
        <w:t xml:space="preserve">18–20 </w:t>
      </w:r>
      <w:r w:rsidR="0034429F">
        <w:t>December 2009</w:t>
      </w:r>
      <w:r w:rsidR="000959AC">
        <w:t xml:space="preserve"> Mid-Atlantic Blizzard</w:t>
      </w:r>
      <w:r w:rsidR="0034429F">
        <w:t xml:space="preserve">. </w:t>
      </w:r>
      <w:r w:rsidR="00A32CDF">
        <w:t>In that</w:t>
      </w:r>
      <w:r w:rsidR="0034429F">
        <w:t xml:space="preserve"> </w:t>
      </w:r>
      <w:r w:rsidR="00F10DE4">
        <w:t>case</w:t>
      </w:r>
      <w:r w:rsidR="0034429F">
        <w:t>,</w:t>
      </w:r>
      <w:r w:rsidR="00AE748F">
        <w:t xml:space="preserve"> Winters and Martin (2017)</w:t>
      </w:r>
      <w:r w:rsidR="0034429F">
        <w:t xml:space="preserve"> determined that the three-dimensional</w:t>
      </w:r>
      <w:r w:rsidR="0019437C">
        <w:t xml:space="preserve"> divergent</w:t>
      </w:r>
      <w:r w:rsidR="0034429F">
        <w:t xml:space="preserve"> circulation induced by PV anomalies</w:t>
      </w:r>
      <w:r w:rsidR="00734E7A">
        <w:t xml:space="preserve"> residing</w:t>
      </w:r>
      <w:r w:rsidR="0034429F">
        <w:t xml:space="preserve"> </w:t>
      </w:r>
      <w:r w:rsidR="009276EA">
        <w:t xml:space="preserve">along the </w:t>
      </w:r>
      <w:r w:rsidR="00597A58">
        <w:t>polar jet waveguide</w:t>
      </w:r>
      <w:r w:rsidR="0034429F">
        <w:t xml:space="preserve"> </w:t>
      </w:r>
      <w:r w:rsidR="006D7E45">
        <w:t>contributed more to the</w:t>
      </w:r>
      <w:r w:rsidR="004379F5">
        <w:t xml:space="preserve"> formation of</w:t>
      </w:r>
      <w:r w:rsidR="00D319A3">
        <w:t xml:space="preserve"> a steep, single-step structure</w:t>
      </w:r>
      <w:r w:rsidR="00A5479C">
        <w:t xml:space="preserve"> than the</w:t>
      </w:r>
      <w:r w:rsidR="00124981">
        <w:t xml:space="preserve"> three-dimensional divergent</w:t>
      </w:r>
      <w:r w:rsidR="00A5479C">
        <w:t xml:space="preserve"> circulation induced by PV anomalies </w:t>
      </w:r>
      <w:r w:rsidR="00124981">
        <w:t xml:space="preserve">residing </w:t>
      </w:r>
      <w:r w:rsidR="00A5479C">
        <w:t>along the subtropical jet waveguide</w:t>
      </w:r>
      <w:r w:rsidR="0034429F">
        <w:t>.</w:t>
      </w:r>
      <w:r w:rsidR="008B2815">
        <w:t xml:space="preserve"> While</w:t>
      </w:r>
      <w:r w:rsidR="003862E0">
        <w:t xml:space="preserve"> only</w:t>
      </w:r>
      <w:r w:rsidR="008B2815">
        <w:t xml:space="preserve"> applicable to a single </w:t>
      </w:r>
      <w:r w:rsidR="00E72EC3">
        <w:t>jet superposition event</w:t>
      </w:r>
      <w:r w:rsidR="008B2815">
        <w:t>, the results from Winters and Martin (2017)</w:t>
      </w:r>
      <w:r w:rsidR="00F63FCA">
        <w:t xml:space="preserve"> provide a foundation from which to examine </w:t>
      </w:r>
      <w:r w:rsidR="00C80707">
        <w:t>whether</w:t>
      </w:r>
      <w:r w:rsidR="001178D4">
        <w:t xml:space="preserve"> a</w:t>
      </w:r>
      <w:r w:rsidR="00E50382">
        <w:t xml:space="preserve"> similar conclusion can </w:t>
      </w:r>
      <w:r w:rsidR="00E50382">
        <w:lastRenderedPageBreak/>
        <w:t>be drawn</w:t>
      </w:r>
      <w:r w:rsidR="00387E98">
        <w:t xml:space="preserve"> </w:t>
      </w:r>
      <w:r w:rsidR="00A5479C">
        <w:t>for</w:t>
      </w:r>
      <w:r w:rsidR="001178D4">
        <w:t xml:space="preserve"> </w:t>
      </w:r>
      <w:r w:rsidR="00CA13CE">
        <w:t>each</w:t>
      </w:r>
      <w:r w:rsidR="004379F5">
        <w:t xml:space="preserve"> jet superposition</w:t>
      </w:r>
      <w:r w:rsidR="00CA13CE">
        <w:t xml:space="preserve"> event type</w:t>
      </w:r>
      <w:r w:rsidR="00584CC1">
        <w:t xml:space="preserve"> and across a large number of cases</w:t>
      </w:r>
      <w:r w:rsidR="00383256">
        <w:t>.</w:t>
      </w:r>
    </w:p>
    <w:p w14:paraId="04133010" w14:textId="068F68C0" w:rsidR="001D7360" w:rsidRPr="00EE5DA9" w:rsidRDefault="00C2319D" w:rsidP="00FF1573">
      <w:pPr>
        <w:widowControl w:val="0"/>
        <w:spacing w:line="480" w:lineRule="auto"/>
      </w:pPr>
      <w:r>
        <w:tab/>
        <w:t xml:space="preserve">The </w:t>
      </w:r>
      <w:r w:rsidR="00173E5B">
        <w:t>configuration</w:t>
      </w:r>
      <w:r>
        <w:t xml:space="preserve"> of</w:t>
      </w:r>
      <w:r w:rsidR="0060565B">
        <w:t xml:space="preserve"> the</w:t>
      </w:r>
      <w:r>
        <w:t xml:space="preserve"> </w:t>
      </w:r>
      <w:r w:rsidR="0060565B">
        <w:t>500-hPa vertical motion</w:t>
      </w:r>
      <w:r>
        <w:t xml:space="preserve"> </w:t>
      </w:r>
      <w:r w:rsidR="00E93457">
        <w:t>pattern</w:t>
      </w:r>
      <w:r w:rsidR="00AB32D4">
        <w:t xml:space="preserve"> in the vicinity of jet superpositions</w:t>
      </w:r>
      <w:r w:rsidR="001E3D2F">
        <w:t xml:space="preserve"> </w:t>
      </w:r>
      <w:r w:rsidR="005C182D">
        <w:t xml:space="preserve">at the time of jet superposition </w:t>
      </w:r>
      <w:r w:rsidR="00C05367">
        <w:t>also differ</w:t>
      </w:r>
      <w:r w:rsidR="00A5479C">
        <w:t>s</w:t>
      </w:r>
      <w:r w:rsidR="001E3D2F">
        <w:t xml:space="preserve"> </w:t>
      </w:r>
      <w:r w:rsidR="00AB32D4">
        <w:t>across the</w:t>
      </w:r>
      <w:r w:rsidR="00E93457">
        <w:t xml:space="preserve"> three</w:t>
      </w:r>
      <w:r w:rsidR="00AB32D4">
        <w:t xml:space="preserve"> event types</w:t>
      </w:r>
      <w:r w:rsidR="0060565B">
        <w:t xml:space="preserve"> (Figs. </w:t>
      </w:r>
      <w:r w:rsidR="00B34EB4">
        <w:t>2</w:t>
      </w:r>
      <w:r w:rsidR="0060565B">
        <w:t>a,c,e)</w:t>
      </w:r>
      <w:r w:rsidR="00AB32D4">
        <w:t>,</w:t>
      </w:r>
      <w:r w:rsidR="00D56477">
        <w:t xml:space="preserve"> which suggests that the dynamical </w:t>
      </w:r>
      <w:r w:rsidR="00444081">
        <w:t>mechanisms</w:t>
      </w:r>
      <w:r w:rsidR="00D56477">
        <w:t xml:space="preserve"> responsible for</w:t>
      </w:r>
      <w:r w:rsidR="0060565B">
        <w:t xml:space="preserve"> the production of</w:t>
      </w:r>
      <w:r w:rsidR="00D56477">
        <w:t xml:space="preserve"> vertical motion may vary </w:t>
      </w:r>
      <w:r w:rsidR="00B8233F">
        <w:t xml:space="preserve">based on the </w:t>
      </w:r>
      <w:r w:rsidR="00D56477">
        <w:t>event type</w:t>
      </w:r>
      <w:r w:rsidR="001E3D2F">
        <w:t xml:space="preserve">. In particular, </w:t>
      </w:r>
      <w:r w:rsidR="00E93457">
        <w:t>the vertical motion pattern features cellular structures</w:t>
      </w:r>
      <w:r w:rsidR="008F73DA">
        <w:t xml:space="preserve"> during</w:t>
      </w:r>
      <w:r w:rsidR="001E3D2F">
        <w:t xml:space="preserve"> polar dominant events, whereas </w:t>
      </w:r>
      <w:r w:rsidR="008F73DA">
        <w:t xml:space="preserve">the vertical motion </w:t>
      </w:r>
      <w:r w:rsidR="00E93457">
        <w:t>pattern</w:t>
      </w:r>
      <w:r w:rsidR="001E3D2F">
        <w:t xml:space="preserve"> </w:t>
      </w:r>
      <w:r w:rsidR="008F73DA">
        <w:t>features banded structures</w:t>
      </w:r>
      <w:r w:rsidR="00AA6487">
        <w:t xml:space="preserve"> that</w:t>
      </w:r>
      <w:r w:rsidR="008F73DA">
        <w:t xml:space="preserve"> </w:t>
      </w:r>
      <w:r w:rsidR="003650A1">
        <w:t>parallel the jet axis</w:t>
      </w:r>
      <w:r w:rsidR="001E3D2F">
        <w:t xml:space="preserve"> </w:t>
      </w:r>
      <w:r w:rsidR="008F73DA">
        <w:t>during</w:t>
      </w:r>
      <w:r w:rsidR="001E3D2F">
        <w:t xml:space="preserve"> both subtropical dominant event types.</w:t>
      </w:r>
      <w:r w:rsidR="00645383">
        <w:t xml:space="preserve"> </w:t>
      </w:r>
      <w:r w:rsidR="008C7E6F">
        <w:t>T</w:t>
      </w:r>
      <w:r w:rsidR="003650A1">
        <w:t xml:space="preserve">he </w:t>
      </w:r>
      <w:r w:rsidR="003650A1" w:rsidRPr="006636ED">
        <w:rPr>
          <w:b/>
          <w:i/>
        </w:rPr>
        <w:t>Q</w:t>
      </w:r>
      <w:r w:rsidR="006636ED">
        <w:t xml:space="preserve"> </w:t>
      </w:r>
      <w:r w:rsidR="003650A1">
        <w:t>vector (e.g., Hoskins et al. 1978</w:t>
      </w:r>
      <w:r w:rsidR="00771D50">
        <w:t>; Hoskins and Pedder 1980</w:t>
      </w:r>
      <w:r w:rsidR="003650A1">
        <w:t xml:space="preserve">), and </w:t>
      </w:r>
      <w:r w:rsidR="006636ED">
        <w:t>its partition into</w:t>
      </w:r>
      <w:r w:rsidR="003650A1">
        <w:t xml:space="preserve"> an along-</w:t>
      </w:r>
      <w:r w:rsidR="00665D68">
        <w:t>isotherm</w:t>
      </w:r>
      <w:r w:rsidR="003650A1">
        <w:t xml:space="preserve"> (</w:t>
      </w:r>
      <w:r w:rsidR="003650A1" w:rsidRPr="006636ED">
        <w:rPr>
          <w:b/>
          <w:i/>
        </w:rPr>
        <w:t>Q</w:t>
      </w:r>
      <w:r w:rsidR="003650A1" w:rsidRPr="006636ED">
        <w:rPr>
          <w:b/>
          <w:i/>
          <w:vertAlign w:val="subscript"/>
        </w:rPr>
        <w:t>s</w:t>
      </w:r>
      <w:r w:rsidR="003650A1" w:rsidRPr="006636ED">
        <w:t>)</w:t>
      </w:r>
      <w:r w:rsidR="003650A1">
        <w:t xml:space="preserve"> and</w:t>
      </w:r>
      <w:r w:rsidR="005F2804">
        <w:t xml:space="preserve"> an</w:t>
      </w:r>
      <w:r w:rsidR="003650A1">
        <w:t xml:space="preserve"> across-</w:t>
      </w:r>
      <w:r w:rsidR="00665D68">
        <w:t>isotherm</w:t>
      </w:r>
      <w:r w:rsidR="003650A1">
        <w:t xml:space="preserve"> (</w:t>
      </w:r>
      <w:r w:rsidR="003650A1" w:rsidRPr="006636ED">
        <w:rPr>
          <w:b/>
          <w:i/>
        </w:rPr>
        <w:t>Q</w:t>
      </w:r>
      <w:r w:rsidR="003650A1" w:rsidRPr="006636ED">
        <w:rPr>
          <w:b/>
          <w:i/>
          <w:vertAlign w:val="subscript"/>
        </w:rPr>
        <w:t>n</w:t>
      </w:r>
      <w:r w:rsidR="003650A1">
        <w:t>) component</w:t>
      </w:r>
      <w:r w:rsidR="00F66418">
        <w:t xml:space="preserve"> (e.g., </w:t>
      </w:r>
      <w:r w:rsidR="007A0519">
        <w:t xml:space="preserve">Keyser et al. 1988, 1992; </w:t>
      </w:r>
      <w:r w:rsidR="002634D3">
        <w:t>Sanders and Hoskins</w:t>
      </w:r>
      <w:r w:rsidR="002F5BC9">
        <w:t xml:space="preserve"> 1990</w:t>
      </w:r>
      <w:r w:rsidR="00F66418">
        <w:t xml:space="preserve">; Martin </w:t>
      </w:r>
      <w:r w:rsidR="009408E9">
        <w:t xml:space="preserve">1999, </w:t>
      </w:r>
      <w:r w:rsidR="00F66418">
        <w:t>2006</w:t>
      </w:r>
      <w:r w:rsidR="00F54E36">
        <w:t>, 2014</w:t>
      </w:r>
      <w:r w:rsidR="00F66418">
        <w:t>)</w:t>
      </w:r>
      <w:r w:rsidR="003650A1">
        <w:t xml:space="preserve">, </w:t>
      </w:r>
      <w:r w:rsidR="005F2804">
        <w:t>provides</w:t>
      </w:r>
      <w:r w:rsidR="003650A1">
        <w:t xml:space="preserve"> a </w:t>
      </w:r>
      <w:r w:rsidR="00A00C8B">
        <w:t>diagnostic</w:t>
      </w:r>
      <w:r w:rsidR="003B12B6">
        <w:t xml:space="preserve"> </w:t>
      </w:r>
      <w:r w:rsidR="00B86EE8">
        <w:t>framework</w:t>
      </w:r>
      <w:r w:rsidR="003650A1">
        <w:t xml:space="preserve"> </w:t>
      </w:r>
      <w:r w:rsidR="00CC2C73">
        <w:t>for</w:t>
      </w:r>
      <w:r w:rsidR="003650A1">
        <w:t xml:space="preserve"> </w:t>
      </w:r>
      <w:r w:rsidR="00B86EE8">
        <w:t>examin</w:t>
      </w:r>
      <w:r w:rsidR="00CC2C73">
        <w:t>ing</w:t>
      </w:r>
      <w:r w:rsidR="00B86EE8">
        <w:t xml:space="preserve"> the vertical motion pattern in the vicinity of jet superpositions. In this framework, </w:t>
      </w:r>
      <w:r w:rsidR="00645383">
        <w:t>t</w:t>
      </w:r>
      <w:r w:rsidR="00EA1C1D">
        <w:t xml:space="preserve">he divergence of </w:t>
      </w:r>
      <w:r w:rsidR="00EA1C1D" w:rsidRPr="006636ED">
        <w:rPr>
          <w:b/>
          <w:i/>
        </w:rPr>
        <w:t>Q</w:t>
      </w:r>
      <w:r w:rsidR="00EA1C1D" w:rsidRPr="006636ED">
        <w:rPr>
          <w:b/>
          <w:i/>
          <w:vertAlign w:val="subscript"/>
        </w:rPr>
        <w:t>s</w:t>
      </w:r>
      <w:r w:rsidR="00EA1C1D">
        <w:t xml:space="preserve"> </w:t>
      </w:r>
      <w:r w:rsidR="00720272">
        <w:t>is characterized by a cellular pattern and</w:t>
      </w:r>
      <w:r w:rsidR="009F32C1">
        <w:t xml:space="preserve"> </w:t>
      </w:r>
      <w:r w:rsidR="004D219E">
        <w:t xml:space="preserve">represents </w:t>
      </w:r>
      <w:r w:rsidR="00EE5DA9">
        <w:t xml:space="preserve">quasigeostrophic forcing for vertical motion </w:t>
      </w:r>
      <w:r w:rsidR="00D728D4">
        <w:t>associated with</w:t>
      </w:r>
      <w:r w:rsidR="00EE5DA9">
        <w:t xml:space="preserve"> synoptic-scale waves </w:t>
      </w:r>
      <w:r w:rsidR="002F5BC9">
        <w:t xml:space="preserve">(e.g., </w:t>
      </w:r>
      <w:r w:rsidR="002634D3">
        <w:t>Sanders and Hoskins</w:t>
      </w:r>
      <w:r w:rsidR="002F5BC9">
        <w:t xml:space="preserve"> 1990; their Fig. 4)</w:t>
      </w:r>
      <w:r w:rsidR="00720272">
        <w:t>.</w:t>
      </w:r>
      <w:r w:rsidR="00EA1C1D">
        <w:t xml:space="preserve"> </w:t>
      </w:r>
      <w:r w:rsidR="00720272">
        <w:t>T</w:t>
      </w:r>
      <w:r w:rsidR="00E70D6D">
        <w:t xml:space="preserve">he divergence of </w:t>
      </w:r>
      <w:r w:rsidR="00E70D6D" w:rsidRPr="006636ED">
        <w:rPr>
          <w:b/>
          <w:i/>
        </w:rPr>
        <w:t>Q</w:t>
      </w:r>
      <w:r w:rsidR="00E70D6D">
        <w:rPr>
          <w:b/>
          <w:i/>
          <w:vertAlign w:val="subscript"/>
        </w:rPr>
        <w:t>n</w:t>
      </w:r>
      <w:r w:rsidR="00F81A9A">
        <w:t xml:space="preserve"> </w:t>
      </w:r>
      <w:r w:rsidR="00E70D6D">
        <w:t xml:space="preserve">is </w:t>
      </w:r>
      <w:r w:rsidR="00720272">
        <w:t>characte</w:t>
      </w:r>
      <w:r w:rsidR="009A6172">
        <w:t>r</w:t>
      </w:r>
      <w:r w:rsidR="00720272">
        <w:t>ized</w:t>
      </w:r>
      <w:r w:rsidR="00E70D6D">
        <w:t xml:space="preserve"> </w:t>
      </w:r>
      <w:r w:rsidR="00720272">
        <w:t>by a</w:t>
      </w:r>
      <w:r w:rsidR="00E70D6D">
        <w:t xml:space="preserve"> banded </w:t>
      </w:r>
      <w:r w:rsidR="00F81A9A">
        <w:t xml:space="preserve">pattern </w:t>
      </w:r>
      <w:r w:rsidR="00E70D6D">
        <w:t xml:space="preserve">that </w:t>
      </w:r>
      <w:r w:rsidR="00F81A9A">
        <w:t>parallel</w:t>
      </w:r>
      <w:r w:rsidR="00E70D6D">
        <w:t>s</w:t>
      </w:r>
      <w:r w:rsidR="00F81A9A">
        <w:t xml:space="preserve"> areas o</w:t>
      </w:r>
      <w:r w:rsidR="00E70D6D">
        <w:t>f enhanced baroclinicity</w:t>
      </w:r>
      <w:r w:rsidR="00720272">
        <w:t xml:space="preserve"> and </w:t>
      </w:r>
      <w:r w:rsidR="007C4B44">
        <w:t>represents</w:t>
      </w:r>
      <w:r w:rsidR="00720272">
        <w:t xml:space="preserve"> quasigeostrophic forcing for vertical motion associated with frontal circulations</w:t>
      </w:r>
      <w:r w:rsidR="00392EB7">
        <w:t xml:space="preserve"> </w:t>
      </w:r>
      <w:r w:rsidR="00D728D4">
        <w:t>in the vicinity of the jet</w:t>
      </w:r>
      <w:r w:rsidR="002F5BC9">
        <w:t xml:space="preserve"> (e.g., </w:t>
      </w:r>
      <w:r w:rsidR="002634D3">
        <w:t>Sanders and Hoskins</w:t>
      </w:r>
      <w:r w:rsidR="002F5BC9">
        <w:t xml:space="preserve"> 1990; their Figs. 5</w:t>
      </w:r>
      <w:r w:rsidR="00C42E40">
        <w:t xml:space="preserve"> and </w:t>
      </w:r>
      <w:r w:rsidR="002F5BC9">
        <w:t>6)</w:t>
      </w:r>
      <w:r w:rsidR="00F81A9A">
        <w:t>.</w:t>
      </w:r>
      <w:r w:rsidR="009A6172">
        <w:t xml:space="preserve"> Therefore, </w:t>
      </w:r>
      <w:r w:rsidR="00E04483">
        <w:t>it is hypothesized that</w:t>
      </w:r>
      <w:r w:rsidR="009A6172">
        <w:t xml:space="preserve"> the cellular structure of the vertical motion pattern</w:t>
      </w:r>
      <w:r w:rsidR="00E61554">
        <w:t xml:space="preserve"> observed</w:t>
      </w:r>
      <w:r w:rsidR="009A6172">
        <w:t xml:space="preserve"> during polar dominant events</w:t>
      </w:r>
      <w:r w:rsidR="00F50F7F">
        <w:t xml:space="preserve"> (Fig. 2a)</w:t>
      </w:r>
      <w:r w:rsidR="009A6172">
        <w:t xml:space="preserve"> </w:t>
      </w:r>
      <w:r w:rsidR="00E04483">
        <w:t xml:space="preserve">is </w:t>
      </w:r>
      <w:r w:rsidR="009A6172">
        <w:t xml:space="preserve">driven predominantly by </w:t>
      </w:r>
      <w:r w:rsidR="00CA48CB">
        <w:t xml:space="preserve">the presence of </w:t>
      </w:r>
      <w:r w:rsidR="009A6172">
        <w:t>an amplified upper-tropospheric flow pattern</w:t>
      </w:r>
      <w:r w:rsidR="00CA48CB">
        <w:t>. Conversely, t</w:t>
      </w:r>
      <w:r w:rsidR="009A6172">
        <w:t>he banded pattern of vertical motion during both subtropical dominant event types</w:t>
      </w:r>
      <w:r w:rsidR="00F50F7F">
        <w:t xml:space="preserve"> (Figs. 2c,e)</w:t>
      </w:r>
      <w:r w:rsidR="009A6172">
        <w:t xml:space="preserve"> </w:t>
      </w:r>
      <w:r w:rsidR="00CA48CB">
        <w:t>suggests</w:t>
      </w:r>
      <w:r w:rsidR="009A6172">
        <w:t xml:space="preserve"> that across-front ageostrophic circulations arising due to frontogenesis </w:t>
      </w:r>
      <w:r w:rsidR="00EA6624">
        <w:t xml:space="preserve">make a comparatively larger contribution to the vertical motion pattern </w:t>
      </w:r>
      <w:r w:rsidR="009A6172">
        <w:t>during both subtropical dominant event types compared to polar dominant events.</w:t>
      </w:r>
    </w:p>
    <w:p w14:paraId="584785F3" w14:textId="406FD1A4" w:rsidR="003B10C0" w:rsidRDefault="001D7360" w:rsidP="004F740D">
      <w:pPr>
        <w:widowControl w:val="0"/>
        <w:spacing w:line="480" w:lineRule="auto"/>
      </w:pPr>
      <w:r>
        <w:tab/>
      </w:r>
      <w:r w:rsidR="009509FB">
        <w:t>T</w:t>
      </w:r>
      <w:r w:rsidR="00D6718D">
        <w:t>h</w:t>
      </w:r>
      <w:r w:rsidR="00970A11">
        <w:t>e forthcoming</w:t>
      </w:r>
      <w:r w:rsidR="00D6718D">
        <w:t xml:space="preserve"> </w:t>
      </w:r>
      <w:r w:rsidR="00E53F5D">
        <w:t>study</w:t>
      </w:r>
      <w:r w:rsidR="00BD48DC">
        <w:t xml:space="preserve"> </w:t>
      </w:r>
      <w:r w:rsidR="00D6718D">
        <w:t>expand</w:t>
      </w:r>
      <w:r w:rsidR="00995288">
        <w:t>s</w:t>
      </w:r>
      <w:r w:rsidR="00D6718D">
        <w:t xml:space="preserve"> upon prior</w:t>
      </w:r>
      <w:r w:rsidR="00995288">
        <w:t xml:space="preserve"> </w:t>
      </w:r>
      <w:r w:rsidR="00AE05B0">
        <w:t xml:space="preserve">work </w:t>
      </w:r>
      <w:r w:rsidR="00971D4C">
        <w:t xml:space="preserve">into the production </w:t>
      </w:r>
      <w:r w:rsidR="009509FB">
        <w:t xml:space="preserve">of vertical motion in </w:t>
      </w:r>
      <w:r w:rsidR="009509FB">
        <w:lastRenderedPageBreak/>
        <w:t>the vicinity of</w:t>
      </w:r>
      <w:r w:rsidR="00AE05B0">
        <w:t xml:space="preserve"> </w:t>
      </w:r>
      <w:r w:rsidR="00D6718D">
        <w:t xml:space="preserve">upper-level </w:t>
      </w:r>
      <w:r w:rsidR="00AE05B0">
        <w:t>jet-</w:t>
      </w:r>
      <w:r w:rsidR="00D6718D">
        <w:t>front</w:t>
      </w:r>
      <w:r w:rsidR="00AE05B0">
        <w:t xml:space="preserve"> systems</w:t>
      </w:r>
      <w:r w:rsidR="00995288">
        <w:t xml:space="preserve"> (e.g., Schultz and Doswell 1999; Lang and Martin 2010, 2012, 2013; Martin 2014)</w:t>
      </w:r>
      <w:r w:rsidR="00D6718D">
        <w:t xml:space="preserve"> by investigating the processes that facilitate the formation of a </w:t>
      </w:r>
      <w:r w:rsidR="00995288">
        <w:t xml:space="preserve">steep, single-step tropopause structure </w:t>
      </w:r>
      <w:r w:rsidR="00412A58">
        <w:t>across a large sample of jet superposition events</w:t>
      </w:r>
      <w:r w:rsidR="00E53F5D">
        <w:t xml:space="preserve">. The remainder of this study </w:t>
      </w:r>
      <w:r w:rsidR="00E969F9">
        <w:t xml:space="preserve">is structured as follows. Section 2 </w:t>
      </w:r>
      <w:r w:rsidR="00BD3697">
        <w:t>summarizes</w:t>
      </w:r>
      <w:r w:rsidR="00E969F9">
        <w:t xml:space="preserve"> the </w:t>
      </w:r>
      <w:r w:rsidR="00FB0DE3">
        <w:t xml:space="preserve">jet superposition event </w:t>
      </w:r>
      <w:r w:rsidR="00E969F9">
        <w:t>classification scheme</w:t>
      </w:r>
      <w:r w:rsidR="00A171DD">
        <w:t xml:space="preserve"> developed by Winters et al. (2020)</w:t>
      </w:r>
      <w:r w:rsidR="00E969F9">
        <w:t>. Section 3 determines the fraction of the</w:t>
      </w:r>
      <w:r w:rsidR="00AB7F36">
        <w:t xml:space="preserve"> </w:t>
      </w:r>
      <w:r w:rsidR="00E969F9">
        <w:t xml:space="preserve">vertical motion </w:t>
      </w:r>
      <w:r w:rsidR="005F7011">
        <w:t>pattern</w:t>
      </w:r>
      <w:r w:rsidR="00E969F9">
        <w:t xml:space="preserve"> during</w:t>
      </w:r>
      <w:r w:rsidR="00B06B56">
        <w:t xml:space="preserve"> each</w:t>
      </w:r>
      <w:r w:rsidR="00E969F9">
        <w:t xml:space="preserve"> jet superposition event</w:t>
      </w:r>
      <w:r w:rsidR="00B06B56">
        <w:t xml:space="preserve"> type </w:t>
      </w:r>
      <w:r w:rsidR="00604D51">
        <w:t xml:space="preserve">that </w:t>
      </w:r>
      <w:r w:rsidR="005E6DB4">
        <w:t>can be attributed to</w:t>
      </w:r>
      <w:r w:rsidR="00994061">
        <w:t xml:space="preserve"> </w:t>
      </w:r>
      <w:r w:rsidR="00E969F9">
        <w:t xml:space="preserve">polar cyclonic and tropical anticyclonic PV anomalies. Section 4 investigates the extent to which the vertical motion </w:t>
      </w:r>
      <w:r w:rsidR="005F7011">
        <w:t>pattern</w:t>
      </w:r>
      <w:r w:rsidR="00E969F9">
        <w:t xml:space="preserve"> </w:t>
      </w:r>
      <w:r w:rsidR="00B06B56">
        <w:t>during</w:t>
      </w:r>
      <w:r w:rsidR="00215021">
        <w:t xml:space="preserve"> each</w:t>
      </w:r>
      <w:r w:rsidR="00BD3697">
        <w:t xml:space="preserve"> event type</w:t>
      </w:r>
      <w:r w:rsidR="00E969F9">
        <w:t xml:space="preserve"> is associated </w:t>
      </w:r>
      <w:r w:rsidR="00A8054A">
        <w:t xml:space="preserve">with </w:t>
      </w:r>
      <w:r w:rsidR="007D320E">
        <w:t>the divergence of the along-</w:t>
      </w:r>
      <w:r w:rsidR="00665D68">
        <w:t>isotherm</w:t>
      </w:r>
      <w:r w:rsidR="007D320E">
        <w:t xml:space="preserve"> and across-</w:t>
      </w:r>
      <w:r w:rsidR="00665D68">
        <w:t>isotherm</w:t>
      </w:r>
      <w:r w:rsidR="007D320E">
        <w:t xml:space="preserve"> components of the </w:t>
      </w:r>
      <w:r w:rsidR="007D320E" w:rsidRPr="00CF319D">
        <w:rPr>
          <w:b/>
          <w:i/>
        </w:rPr>
        <w:t>Q</w:t>
      </w:r>
      <w:r w:rsidR="007D320E" w:rsidRPr="00CF319D">
        <w:rPr>
          <w:i/>
        </w:rPr>
        <w:t xml:space="preserve"> </w:t>
      </w:r>
      <w:r w:rsidR="007D320E">
        <w:t>vector</w:t>
      </w:r>
      <w:r w:rsidR="00E969F9">
        <w:t xml:space="preserve">, and </w:t>
      </w:r>
      <w:r w:rsidR="00A8054A">
        <w:t>s</w:t>
      </w:r>
      <w:r w:rsidR="00E969F9">
        <w:t xml:space="preserve">ection 5 </w:t>
      </w:r>
      <w:r w:rsidR="00551997">
        <w:t>summarizes the results</w:t>
      </w:r>
      <w:r w:rsidR="00EE17BE">
        <w:t xml:space="preserve"> of this study</w:t>
      </w:r>
      <w:r w:rsidR="00EA2797">
        <w:t>.</w:t>
      </w:r>
    </w:p>
    <w:p w14:paraId="554EEE30" w14:textId="76A8275A" w:rsidR="00864CD3" w:rsidRDefault="00864CD3" w:rsidP="00FF1573">
      <w:pPr>
        <w:widowControl w:val="0"/>
        <w:spacing w:line="480" w:lineRule="auto"/>
      </w:pPr>
    </w:p>
    <w:p w14:paraId="2BFA9F35" w14:textId="0C6285F5" w:rsidR="00864CD3" w:rsidRDefault="00864CD3" w:rsidP="00FF1573">
      <w:pPr>
        <w:widowControl w:val="0"/>
        <w:spacing w:line="480" w:lineRule="auto"/>
        <w:rPr>
          <w:b/>
        </w:rPr>
      </w:pPr>
      <w:r>
        <w:rPr>
          <w:b/>
        </w:rPr>
        <w:t xml:space="preserve">2.  </w:t>
      </w:r>
      <w:r w:rsidR="005005F0">
        <w:rPr>
          <w:b/>
        </w:rPr>
        <w:t>Jet superposition event identification and classification</w:t>
      </w:r>
    </w:p>
    <w:p w14:paraId="1CAA4B13" w14:textId="41FD988E" w:rsidR="00C16E68" w:rsidRDefault="00864CD3" w:rsidP="008F25F6">
      <w:pPr>
        <w:widowControl w:val="0"/>
        <w:spacing w:line="480" w:lineRule="auto"/>
      </w:pPr>
      <w:r>
        <w:rPr>
          <w:b/>
        </w:rPr>
        <w:tab/>
      </w:r>
      <w:r w:rsidR="00C16E68">
        <w:t xml:space="preserve">This study </w:t>
      </w:r>
      <w:r w:rsidR="006F7971">
        <w:t>utilizes</w:t>
      </w:r>
      <w:r w:rsidR="00C16E68">
        <w:t xml:space="preserve"> data</w:t>
      </w:r>
      <w:r w:rsidR="005939B0">
        <w:t xml:space="preserve"> at 6-h intervals</w:t>
      </w:r>
      <w:r w:rsidR="0059651C">
        <w:t xml:space="preserve"> </w:t>
      </w:r>
      <w:r w:rsidR="00C16E68">
        <w:t>from the CFSR (Saha et al. 2010)</w:t>
      </w:r>
      <w:r w:rsidR="00BF4FC2">
        <w:t xml:space="preserve"> </w:t>
      </w:r>
      <w:r w:rsidR="00504BA8">
        <w:t>with</w:t>
      </w:r>
      <w:r w:rsidR="00BF4FC2">
        <w:t xml:space="preserve"> 0.</w:t>
      </w:r>
      <w:r w:rsidR="00BF4FC2" w:rsidRPr="00C16E68">
        <w:t xml:space="preserve">5° </w:t>
      </w:r>
      <w:r w:rsidR="004F0C48">
        <w:t xml:space="preserve">horizontal </w:t>
      </w:r>
      <w:r w:rsidR="00BF4FC2">
        <w:t>grid spacing</w:t>
      </w:r>
      <w:r w:rsidR="004F0C48">
        <w:t xml:space="preserve"> and 50-hPa vertical grid spacing</w:t>
      </w:r>
      <w:r w:rsidR="00360843">
        <w:t xml:space="preserve"> between 1000</w:t>
      </w:r>
      <w:r w:rsidR="00613DE7">
        <w:t xml:space="preserve"> and </w:t>
      </w:r>
      <w:r w:rsidR="00360843">
        <w:t>50 hPa</w:t>
      </w:r>
      <w:r w:rsidR="00C36B63">
        <w:t xml:space="preserve"> during November–March 1979–2010. This study also utilizes</w:t>
      </w:r>
      <w:r w:rsidR="00C16E68">
        <w:t xml:space="preserve"> </w:t>
      </w:r>
      <w:r w:rsidR="002C5050">
        <w:t>326</w:t>
      </w:r>
      <w:r w:rsidR="007A1643">
        <w:t xml:space="preserve"> North American</w:t>
      </w:r>
      <w:r w:rsidR="00C16E68">
        <w:t xml:space="preserve"> jet superposition events</w:t>
      </w:r>
      <w:r w:rsidR="00476546">
        <w:t xml:space="preserve"> </w:t>
      </w:r>
      <w:r w:rsidR="007113E2">
        <w:t>identified</w:t>
      </w:r>
      <w:r w:rsidR="00C36B63">
        <w:t xml:space="preserve"> </w:t>
      </w:r>
      <w:r w:rsidR="001E73C5">
        <w:t>by Winters et al. (2020)</w:t>
      </w:r>
      <w:r w:rsidR="005B7371">
        <w:t xml:space="preserve"> in the CFSR</w:t>
      </w:r>
      <w:r w:rsidR="007A1643">
        <w:t xml:space="preserve"> during the same time period</w:t>
      </w:r>
      <w:r w:rsidR="00C16E68">
        <w:t xml:space="preserve">. </w:t>
      </w:r>
      <w:r w:rsidR="00CE27AD">
        <w:t>J</w:t>
      </w:r>
      <w:r w:rsidR="00A95992">
        <w:t>et superpositions</w:t>
      </w:r>
      <w:r w:rsidR="007A1643">
        <w:t xml:space="preserve"> </w:t>
      </w:r>
      <w:r w:rsidR="00A95992">
        <w:t>are</w:t>
      </w:r>
      <w:r w:rsidR="00447E68">
        <w:t xml:space="preserve"> </w:t>
      </w:r>
      <w:r w:rsidR="00360843">
        <w:t>identified</w:t>
      </w:r>
      <w:r w:rsidR="001406B3">
        <w:t xml:space="preserve"> in Winters et al. (2020)</w:t>
      </w:r>
      <w:r w:rsidR="00447E68">
        <w:t xml:space="preserve"> </w:t>
      </w:r>
      <w:r w:rsidR="00C16E68">
        <w:t>as those grid columns</w:t>
      </w:r>
      <w:r w:rsidR="00847124">
        <w:t xml:space="preserve"> in the CFSR</w:t>
      </w:r>
      <w:r w:rsidR="007113E2">
        <w:t xml:space="preserve"> that</w:t>
      </w:r>
      <w:r w:rsidR="007A1643">
        <w:t xml:space="preserve"> feature</w:t>
      </w:r>
      <w:r w:rsidR="007113E2">
        <w:t xml:space="preserve"> </w:t>
      </w:r>
      <w:r w:rsidR="00D96D9A">
        <w:t xml:space="preserve">(a) </w:t>
      </w:r>
      <w:r w:rsidR="007113E2">
        <w:t xml:space="preserve">a strong horizontal PV gradient </w:t>
      </w:r>
      <w:r w:rsidR="00AB759E">
        <w:t>with</w:t>
      </w:r>
      <w:r w:rsidR="007113E2">
        <w:t>in both the 315–330-K and 340–355-K layer</w:t>
      </w:r>
      <w:r w:rsidR="00613DE7">
        <w:t>s</w:t>
      </w:r>
      <w:r w:rsidR="007113E2">
        <w:t xml:space="preserve"> (i.e., </w:t>
      </w:r>
      <w:r w:rsidR="00AA7EB6">
        <w:t xml:space="preserve">representing </w:t>
      </w:r>
      <w:r w:rsidR="007113E2">
        <w:t>the formation of a steep, single-step tropopause</w:t>
      </w:r>
      <w:r w:rsidR="004374A8">
        <w:t xml:space="preserve"> structure</w:t>
      </w:r>
      <w:r w:rsidR="007113E2">
        <w:t xml:space="preserve">) </w:t>
      </w:r>
      <w:r w:rsidR="001E73C5">
        <w:t>and</w:t>
      </w:r>
      <w:r w:rsidR="00D96D9A">
        <w:t xml:space="preserve"> (b)</w:t>
      </w:r>
      <w:r w:rsidR="00C16E68">
        <w:t xml:space="preserve"> </w:t>
      </w:r>
      <w:r w:rsidR="007A1643">
        <w:t>a</w:t>
      </w:r>
      <w:r w:rsidR="006619C0">
        <w:t xml:space="preserve"> 400–100-hPa</w:t>
      </w:r>
      <w:r w:rsidR="00C16E68">
        <w:t xml:space="preserve"> vertically</w:t>
      </w:r>
      <w:r w:rsidR="00613DE7">
        <w:t xml:space="preserve"> </w:t>
      </w:r>
      <w:r w:rsidR="002C5050">
        <w:t xml:space="preserve">integrated </w:t>
      </w:r>
      <w:r w:rsidR="00C16E68">
        <w:t xml:space="preserve">wind speed </w:t>
      </w:r>
      <w:r w:rsidR="007A1643">
        <w:t>in excess of</w:t>
      </w:r>
      <w:r w:rsidR="00C16E68">
        <w:t xml:space="preserve"> 30 m s</w:t>
      </w:r>
      <w:r w:rsidR="00C16E68">
        <w:rPr>
          <w:vertAlign w:val="superscript"/>
        </w:rPr>
        <w:t>–1</w:t>
      </w:r>
      <w:r w:rsidR="001E73C5">
        <w:t xml:space="preserve">. </w:t>
      </w:r>
      <w:r w:rsidR="00341655">
        <w:t>North American</w:t>
      </w:r>
      <w:r w:rsidR="00476546">
        <w:t xml:space="preserve"> </w:t>
      </w:r>
      <w:r w:rsidR="00CE27AD">
        <w:t xml:space="preserve">jet superposition </w:t>
      </w:r>
      <w:r w:rsidR="00CE27AD" w:rsidRPr="005939B0">
        <w:t>events</w:t>
      </w:r>
      <w:r w:rsidR="00847124">
        <w:rPr>
          <w:i/>
        </w:rPr>
        <w:t xml:space="preserve"> </w:t>
      </w:r>
      <w:r w:rsidR="00847124">
        <w:t xml:space="preserve">are </w:t>
      </w:r>
      <w:r w:rsidR="006B1E9F">
        <w:t>identified</w:t>
      </w:r>
      <w:r w:rsidR="0038105F">
        <w:t xml:space="preserve"> </w:t>
      </w:r>
      <w:r w:rsidR="001E73C5">
        <w:t xml:space="preserve">as those </w:t>
      </w:r>
      <w:r w:rsidR="00BA2F90">
        <w:t>analysis times</w:t>
      </w:r>
      <w:r w:rsidR="00B923B1">
        <w:t xml:space="preserve"> </w:t>
      </w:r>
      <w:r w:rsidR="00BA2F90">
        <w:t xml:space="preserve">that rank in the top 10% in terms of the number of grid </w:t>
      </w:r>
      <w:r w:rsidR="00A027CC">
        <w:t>columns</w:t>
      </w:r>
      <w:r w:rsidR="00BA2F90">
        <w:t xml:space="preserve"> characterized by a</w:t>
      </w:r>
      <w:r w:rsidR="00EC0269">
        <w:t xml:space="preserve"> jet</w:t>
      </w:r>
      <w:r w:rsidR="00BA2F90">
        <w:t xml:space="preserve"> superposition</w:t>
      </w:r>
      <w:r w:rsidR="00CE27AD">
        <w:t xml:space="preserve"> within the domain, 10</w:t>
      </w:r>
      <w:r w:rsidR="00847124">
        <w:softHyphen/>
      </w:r>
      <w:r w:rsidR="00847124">
        <w:softHyphen/>
        <w:t>–</w:t>
      </w:r>
      <w:r w:rsidR="00CE27AD">
        <w:t>80°N and 140</w:t>
      </w:r>
      <w:r w:rsidR="00847124">
        <w:t>–</w:t>
      </w:r>
      <w:r w:rsidR="00CE27AD">
        <w:t>50°W</w:t>
      </w:r>
      <w:r w:rsidR="00BA2F90">
        <w:t>.</w:t>
      </w:r>
      <w:r w:rsidR="002C5050">
        <w:t xml:space="preserve"> For </w:t>
      </w:r>
      <w:r w:rsidR="00613DE7">
        <w:t>further</w:t>
      </w:r>
      <w:r w:rsidR="002C5050">
        <w:t xml:space="preserve"> detail on the </w:t>
      </w:r>
      <w:r w:rsidR="00EC0269">
        <w:t>jet</w:t>
      </w:r>
      <w:r w:rsidR="009F5CFC">
        <w:t xml:space="preserve"> superposition</w:t>
      </w:r>
      <w:r w:rsidR="00EC0269">
        <w:t xml:space="preserve"> </w:t>
      </w:r>
      <w:r w:rsidR="002C5050">
        <w:t>identification</w:t>
      </w:r>
      <w:r w:rsidR="00831F91">
        <w:t xml:space="preserve"> schem</w:t>
      </w:r>
      <w:r w:rsidR="00361E73">
        <w:t>e and</w:t>
      </w:r>
      <w:r w:rsidR="005E3B5A">
        <w:t xml:space="preserve"> </w:t>
      </w:r>
      <w:r w:rsidR="00D96D9A">
        <w:t xml:space="preserve">the </w:t>
      </w:r>
      <w:r w:rsidR="00BA2F90">
        <w:t xml:space="preserve">procedures used to </w:t>
      </w:r>
      <w:r w:rsidR="00BA2F90">
        <w:lastRenderedPageBreak/>
        <w:t xml:space="preserve">compile </w:t>
      </w:r>
      <w:r w:rsidR="002C5050">
        <w:t>jet superposition events,</w:t>
      </w:r>
      <w:r w:rsidR="005E3B5A">
        <w:t xml:space="preserve"> </w:t>
      </w:r>
      <w:r w:rsidR="002C5050">
        <w:t>the reader is referred to</w:t>
      </w:r>
      <w:r w:rsidR="005C37AE">
        <w:t xml:space="preserve"> </w:t>
      </w:r>
      <w:r w:rsidR="002C5050">
        <w:t>Winters et al. (2020</w:t>
      </w:r>
      <w:r w:rsidR="00C4326A">
        <w:t>; section 2</w:t>
      </w:r>
      <w:r w:rsidR="00A16A1E">
        <w:t>a</w:t>
      </w:r>
      <w:r w:rsidR="002C5050">
        <w:t>).</w:t>
      </w:r>
      <w:r w:rsidR="0055374A">
        <w:t xml:space="preserve"> </w:t>
      </w:r>
      <w:r w:rsidR="0003045A">
        <w:t>T</w:t>
      </w:r>
      <w:r w:rsidR="0055374A">
        <w:t>he methods used</w:t>
      </w:r>
      <w:r w:rsidR="00236236">
        <w:t xml:space="preserve"> </w:t>
      </w:r>
      <w:r w:rsidR="0055374A">
        <w:t>to classify jet superposition events</w:t>
      </w:r>
      <w:r w:rsidR="0024744B">
        <w:t xml:space="preserve"> into event types</w:t>
      </w:r>
      <w:r w:rsidR="00FA6F8F">
        <w:t xml:space="preserve"> </w:t>
      </w:r>
      <w:r w:rsidR="00341396">
        <w:t xml:space="preserve">are </w:t>
      </w:r>
      <w:r w:rsidR="006F7971">
        <w:t xml:space="preserve">identical to </w:t>
      </w:r>
      <w:r w:rsidR="001B6321">
        <w:t>Winters et al. (2020)</w:t>
      </w:r>
      <w:r w:rsidR="002D0D7C">
        <w:t xml:space="preserve"> and are reproduced </w:t>
      </w:r>
      <w:r w:rsidR="003524FF">
        <w:t>below</w:t>
      </w:r>
      <w:r w:rsidR="002D0D7C">
        <w:t xml:space="preserve"> given their relevance to th</w:t>
      </w:r>
      <w:r w:rsidR="00B37BD8">
        <w:t>is</w:t>
      </w:r>
      <w:r w:rsidR="002D0D7C">
        <w:t xml:space="preserve"> study</w:t>
      </w:r>
      <w:r w:rsidR="008B4CDB">
        <w:t>.</w:t>
      </w:r>
      <w:r w:rsidR="00257A62">
        <w:t xml:space="preserve"> </w:t>
      </w:r>
      <w:r w:rsidR="002D0D7C">
        <w:t>T</w:t>
      </w:r>
      <w:r w:rsidR="008B4CDB">
        <w:t>he</w:t>
      </w:r>
      <w:r w:rsidR="00257A62">
        <w:t xml:space="preserve"> </w:t>
      </w:r>
      <w:r w:rsidR="0091619B">
        <w:t>forthcoming</w:t>
      </w:r>
      <w:r w:rsidR="008B4CDB">
        <w:t xml:space="preserve"> text </w:t>
      </w:r>
      <w:r w:rsidR="003B57B9">
        <w:t>describing</w:t>
      </w:r>
      <w:r w:rsidR="008B4CDB">
        <w:t xml:space="preserve"> these methods is derived from Winters et al. (2020) </w:t>
      </w:r>
      <w:r w:rsidR="00FA6F8F">
        <w:t>with</w:t>
      </w:r>
      <w:r w:rsidR="00280B4A">
        <w:t xml:space="preserve"> </w:t>
      </w:r>
      <w:r w:rsidR="00FA6F8F">
        <w:t>minor modifications</w:t>
      </w:r>
      <w:r w:rsidR="00755FE4">
        <w:t>.</w:t>
      </w:r>
    </w:p>
    <w:p w14:paraId="25B0CE00" w14:textId="7844B379" w:rsidR="0015353A" w:rsidRDefault="0015353A" w:rsidP="005C37AE">
      <w:pPr>
        <w:spacing w:line="480" w:lineRule="auto"/>
        <w:ind w:left="360"/>
        <w:rPr>
          <w:i/>
        </w:rPr>
      </w:pPr>
      <w:r>
        <w:rPr>
          <w:i/>
        </w:rPr>
        <w:t>a</w:t>
      </w:r>
      <w:r w:rsidR="001353FC">
        <w:rPr>
          <w:i/>
        </w:rPr>
        <w:t>.</w:t>
      </w:r>
      <w:r>
        <w:rPr>
          <w:i/>
        </w:rPr>
        <w:t xml:space="preserve"> Jet superposition event classification</w:t>
      </w:r>
      <w:r w:rsidR="00D7114C">
        <w:rPr>
          <w:i/>
        </w:rPr>
        <w:t xml:space="preserve"> scheme</w:t>
      </w:r>
    </w:p>
    <w:p w14:paraId="7C3EA029" w14:textId="2ECEE944" w:rsidR="0015353A" w:rsidRDefault="005C37AE" w:rsidP="00463017">
      <w:pPr>
        <w:widowControl w:val="0"/>
        <w:spacing w:line="480" w:lineRule="auto"/>
      </w:pPr>
      <w:r>
        <w:tab/>
      </w:r>
      <w:r w:rsidR="00422A24">
        <w:t>The location of e</w:t>
      </w:r>
      <w:r>
        <w:t>ach jet superposition event</w:t>
      </w:r>
      <w:r w:rsidR="00C21B3E">
        <w:t xml:space="preserve"> in Winters et al. (2020)</w:t>
      </w:r>
      <w:r>
        <w:t xml:space="preserve"> </w:t>
      </w:r>
      <w:r w:rsidR="00602C82">
        <w:t>is described</w:t>
      </w:r>
      <w:r>
        <w:t xml:space="preserve"> by a latitude–longitude centroid that is </w:t>
      </w:r>
      <w:r w:rsidR="00297C8B">
        <w:t>calculated</w:t>
      </w:r>
      <w:r w:rsidR="00422A24">
        <w:t xml:space="preserve"> from</w:t>
      </w:r>
      <w:r w:rsidR="00DA138D">
        <w:t xml:space="preserve"> </w:t>
      </w:r>
      <w:r w:rsidR="00422A24">
        <w:t>an</w:t>
      </w:r>
      <w:r>
        <w:t xml:space="preserve"> </w:t>
      </w:r>
      <w:r w:rsidR="00422A24">
        <w:t>average of</w:t>
      </w:r>
      <w:r>
        <w:t xml:space="preserve"> the latitude and longitude of all grid </w:t>
      </w:r>
      <w:r w:rsidR="00FA57D6">
        <w:t>columns</w:t>
      </w:r>
      <w:r>
        <w:t xml:space="preserve"> characterized by a jet superposition at the </w:t>
      </w:r>
      <w:r w:rsidR="00FA57D6">
        <w:t xml:space="preserve">time </w:t>
      </w:r>
      <w:r w:rsidR="00DA138D">
        <w:t xml:space="preserve">the polar and subtropical jets </w:t>
      </w:r>
      <w:r w:rsidR="00350F58">
        <w:t xml:space="preserve">first </w:t>
      </w:r>
      <w:r w:rsidR="00FA57D6">
        <w:t>become superposed</w:t>
      </w:r>
      <w:r>
        <w:t xml:space="preserve">. </w:t>
      </w:r>
      <w:r w:rsidR="00DD149D">
        <w:t>T</w:t>
      </w:r>
      <w:r>
        <w:t xml:space="preserve">he </w:t>
      </w:r>
      <w:r w:rsidR="00E550AC">
        <w:t xml:space="preserve">locations of the </w:t>
      </w:r>
      <w:r w:rsidR="00422A24">
        <w:t>event</w:t>
      </w:r>
      <w:r>
        <w:t xml:space="preserve"> centroids are</w:t>
      </w:r>
      <w:r w:rsidR="0015643B">
        <w:t xml:space="preserve"> </w:t>
      </w:r>
      <w:r w:rsidR="00463017">
        <w:t xml:space="preserve">subsequently </w:t>
      </w:r>
      <w:r w:rsidR="005049D3">
        <w:t>used</w:t>
      </w:r>
      <w:r>
        <w:t xml:space="preserve"> to classify events into event types</w:t>
      </w:r>
      <w:r w:rsidR="00FB0DE3">
        <w:t xml:space="preserve"> </w:t>
      </w:r>
      <w:r w:rsidR="005049D3">
        <w:t>based on</w:t>
      </w:r>
      <w:r w:rsidR="00FB0DE3">
        <w:t xml:space="preserve"> the degree to which the polar and subtropical jets </w:t>
      </w:r>
      <w:r w:rsidR="00613DE7">
        <w:t>deviate</w:t>
      </w:r>
      <w:r w:rsidR="00FB0DE3">
        <w:t xml:space="preserve"> from their respective climatological </w:t>
      </w:r>
      <w:r w:rsidR="00C4326A">
        <w:t>locations</w:t>
      </w:r>
      <w:r w:rsidR="00FB0DE3">
        <w:t xml:space="preserve"> to form a jet superposition. The climatological </w:t>
      </w:r>
      <w:r w:rsidR="00303EF7">
        <w:t>location</w:t>
      </w:r>
      <w:r w:rsidR="00FB0DE3">
        <w:t xml:space="preserve"> of the polar</w:t>
      </w:r>
      <w:r w:rsidR="00303EF7">
        <w:t xml:space="preserve"> jet</w:t>
      </w:r>
      <w:r w:rsidR="00FB0DE3">
        <w:t xml:space="preserve"> waveguide at a</w:t>
      </w:r>
      <w:r w:rsidR="003404A2">
        <w:t xml:space="preserve">n </w:t>
      </w:r>
      <w:r w:rsidR="00FB0DE3">
        <w:t xml:space="preserve">analysis time (e.g., 0000 UTC 1 January) </w:t>
      </w:r>
      <w:r w:rsidR="00D55C22">
        <w:t>is</w:t>
      </w:r>
      <w:r w:rsidR="00FB0DE3">
        <w:t xml:space="preserve"> calculated by averaging the position of the 2-PVU contour on the 320-K surface at 24-h intervals within a 21-day window centered on that analysis time </w:t>
      </w:r>
      <w:r w:rsidR="00392F77">
        <w:t>during</w:t>
      </w:r>
      <w:r w:rsidR="009A190B">
        <w:t xml:space="preserve"> all years</w:t>
      </w:r>
      <w:r w:rsidR="00FB0DE3">
        <w:t xml:space="preserve"> </w:t>
      </w:r>
      <w:r w:rsidR="00DB7D17">
        <w:t>of the study period</w:t>
      </w:r>
      <w:r w:rsidR="00FB0DE3">
        <w:t>. The climatological position of the subtropical</w:t>
      </w:r>
      <w:r w:rsidR="00303EF7">
        <w:t xml:space="preserve"> jet</w:t>
      </w:r>
      <w:r w:rsidR="00FB0DE3">
        <w:t xml:space="preserve"> waveguide is determined </w:t>
      </w:r>
      <w:r w:rsidR="009B7FF4">
        <w:t>similarly</w:t>
      </w:r>
      <w:r w:rsidR="00FB0DE3">
        <w:t xml:space="preserve"> using the 350-K </w:t>
      </w:r>
      <w:r w:rsidR="006B731B">
        <w:t>surface</w:t>
      </w:r>
      <w:r w:rsidR="00FB0DE3">
        <w:t>.</w:t>
      </w:r>
    </w:p>
    <w:p w14:paraId="52C3ABE2" w14:textId="77777777" w:rsidR="009B7FE4" w:rsidRDefault="0023450A" w:rsidP="009B7FE4">
      <w:pPr>
        <w:widowControl w:val="0"/>
        <w:spacing w:line="480" w:lineRule="auto"/>
      </w:pPr>
      <w:r>
        <w:tab/>
        <w:t>The event classification scheme</w:t>
      </w:r>
      <w:r w:rsidR="00A20EE9">
        <w:t xml:space="preserve"> </w:t>
      </w:r>
      <w:r>
        <w:t xml:space="preserve">compares the position of each event centroid against the climatological </w:t>
      </w:r>
      <w:r w:rsidR="009D68F6">
        <w:t>locations</w:t>
      </w:r>
      <w:r>
        <w:t xml:space="preserve"> of the polar</w:t>
      </w:r>
      <w:r w:rsidR="00FE102E">
        <w:t xml:space="preserve"> and subtropical</w:t>
      </w:r>
      <w:r w:rsidR="000044CC">
        <w:t xml:space="preserve"> jet</w:t>
      </w:r>
      <w:r w:rsidR="00FE102E">
        <w:t xml:space="preserve"> waveguides at the start of an event. “Polar dominant” events (</w:t>
      </w:r>
      <w:r w:rsidR="00FE102E" w:rsidRPr="003055A0">
        <w:rPr>
          <w:i/>
        </w:rPr>
        <w:t>N</w:t>
      </w:r>
      <w:r w:rsidR="00FE102E">
        <w:t xml:space="preserve">=80; Fig. </w:t>
      </w:r>
      <w:r w:rsidR="009F3BC7">
        <w:t>3</w:t>
      </w:r>
      <w:r w:rsidR="00FE102E">
        <w:t>a) are</w:t>
      </w:r>
      <w:r w:rsidR="003E7A9E">
        <w:t xml:space="preserve"> defined as</w:t>
      </w:r>
      <w:r w:rsidR="00FE102E">
        <w:t xml:space="preserve"> those events in which an observation of 2 PVU at the location of the event centroid represents a standardized PV</w:t>
      </w:r>
      <w:r w:rsidR="00A20EE9">
        <w:t xml:space="preserve"> </w:t>
      </w:r>
      <w:r w:rsidR="00FE102E">
        <w:t>anomaly &gt; 0.5 on the 320-K surface and a standardized PV anomaly &gt; –0.5 on the</w:t>
      </w:r>
      <w:r w:rsidR="00A20EE9">
        <w:t xml:space="preserve"> </w:t>
      </w:r>
      <w:r w:rsidR="00FE102E">
        <w:t>350-K surface.</w:t>
      </w:r>
      <w:r w:rsidR="0022585E">
        <w:t xml:space="preserve"> </w:t>
      </w:r>
      <w:r w:rsidR="00FE102E">
        <w:t>“Subtropical dominant” events (</w:t>
      </w:r>
      <w:r w:rsidR="00FE102E" w:rsidRPr="00A64C6B">
        <w:rPr>
          <w:i/>
        </w:rPr>
        <w:t>N</w:t>
      </w:r>
      <w:r w:rsidR="00FE102E">
        <w:t xml:space="preserve">=129; Fig. </w:t>
      </w:r>
      <w:r w:rsidR="009F3BC7">
        <w:t>3</w:t>
      </w:r>
      <w:r w:rsidR="00FE102E">
        <w:t>b) are</w:t>
      </w:r>
      <w:r w:rsidR="003E7A9E">
        <w:t xml:space="preserve"> defined as</w:t>
      </w:r>
      <w:r w:rsidR="00FE102E">
        <w:t xml:space="preserve"> those events in which an observation of 2 PVU at the location of the event centroid represents a standardized PV anomaly &lt; 0.5 on the 320-K surface and a standardized PV anomaly &lt; –0.5 on the 350-K surface</w:t>
      </w:r>
      <w:r w:rsidR="0022585E">
        <w:t>.</w:t>
      </w:r>
    </w:p>
    <w:p w14:paraId="4325D523" w14:textId="5C5F77CE" w:rsidR="00A20EE9" w:rsidRDefault="009B7FE4" w:rsidP="009B7FE4">
      <w:pPr>
        <w:widowControl w:val="0"/>
        <w:spacing w:line="480" w:lineRule="auto"/>
      </w:pPr>
      <w:r>
        <w:lastRenderedPageBreak/>
        <w:tab/>
      </w:r>
      <w:r w:rsidR="004932B3">
        <w:t>S</w:t>
      </w:r>
      <w:r w:rsidR="00A20EE9">
        <w:t xml:space="preserve">ince subtropical dominant events </w:t>
      </w:r>
      <w:r w:rsidR="00297C8B">
        <w:t>are primarily focused</w:t>
      </w:r>
      <w:r w:rsidR="00A20EE9">
        <w:t xml:space="preserve"> on</w:t>
      </w:r>
      <w:r w:rsidR="00297C8B">
        <w:t xml:space="preserve"> </w:t>
      </w:r>
      <w:r w:rsidR="00A20EE9">
        <w:t xml:space="preserve">the eastern </w:t>
      </w:r>
      <w:r w:rsidR="00297C8B">
        <w:t>or</w:t>
      </w:r>
      <w:r w:rsidR="00A20EE9">
        <w:t xml:space="preserve"> western coast</w:t>
      </w:r>
      <w:r w:rsidR="00297C8B">
        <w:t xml:space="preserve"> </w:t>
      </w:r>
      <w:r w:rsidR="00A20EE9">
        <w:t>of North America</w:t>
      </w:r>
      <w:r w:rsidR="00266D55">
        <w:t xml:space="preserve"> (Winters et al. 2020; their Fig. 4c)</w:t>
      </w:r>
      <w:r w:rsidR="00107AF6">
        <w:t xml:space="preserve">, </w:t>
      </w:r>
      <w:r w:rsidR="00A20EE9">
        <w:t>subtropical dominant events are</w:t>
      </w:r>
      <w:r w:rsidR="004932B3">
        <w:t xml:space="preserve"> partitioned</w:t>
      </w:r>
      <w:r w:rsidR="00A20EE9">
        <w:t xml:space="preserve"> into an “eastern” (</w:t>
      </w:r>
      <w:r w:rsidR="00A20EE9" w:rsidRPr="000E4628">
        <w:rPr>
          <w:i/>
        </w:rPr>
        <w:t>N</w:t>
      </w:r>
      <w:r w:rsidR="00A20EE9">
        <w:t>=76) and a “western” category (</w:t>
      </w:r>
      <w:r w:rsidR="00A20EE9" w:rsidRPr="000E4628">
        <w:rPr>
          <w:i/>
        </w:rPr>
        <w:t>N</w:t>
      </w:r>
      <w:r w:rsidR="00A20EE9">
        <w:t>=53) based off the position of each event centroid relative to</w:t>
      </w:r>
      <w:r w:rsidR="000E0555">
        <w:t xml:space="preserve"> </w:t>
      </w:r>
      <w:r w:rsidR="00A20EE9" w:rsidRPr="00A20EE9">
        <w:t>96°W</w:t>
      </w:r>
      <w:r w:rsidR="00A20EE9">
        <w:t>.</w:t>
      </w:r>
      <w:r w:rsidR="00C54526">
        <w:t xml:space="preserve"> The 117 events not classified as polar or subtropical dominant events are </w:t>
      </w:r>
      <w:r w:rsidR="000E4628">
        <w:t>classified as</w:t>
      </w:r>
      <w:r w:rsidR="00C54526">
        <w:t xml:space="preserve"> “hybrid” events</w:t>
      </w:r>
      <w:r w:rsidR="00F624D1">
        <w:t xml:space="preserve"> and represent a mutual deviation of both jets from their climatological location</w:t>
      </w:r>
      <w:r w:rsidR="003E7A9E">
        <w:t>s</w:t>
      </w:r>
      <w:r w:rsidR="00F624D1">
        <w:t>.</w:t>
      </w:r>
      <w:r w:rsidR="00361E73">
        <w:t xml:space="preserve"> </w:t>
      </w:r>
      <w:r w:rsidR="00F624D1">
        <w:t xml:space="preserve">The focus of this study </w:t>
      </w:r>
      <w:r w:rsidR="003E7A9E">
        <w:t>is</w:t>
      </w:r>
      <w:r w:rsidR="00F624D1">
        <w:t xml:space="preserve"> to</w:t>
      </w:r>
      <w:r w:rsidR="0073638F">
        <w:t xml:space="preserve"> examine the</w:t>
      </w:r>
      <w:r w:rsidR="007B4711">
        <w:t xml:space="preserve"> </w:t>
      </w:r>
      <w:r w:rsidR="0073638F">
        <w:t>vertical motion patterns associated with</w:t>
      </w:r>
      <w:r w:rsidR="003E7A9E">
        <w:t xml:space="preserve"> polar</w:t>
      </w:r>
      <w:r w:rsidR="0073638F">
        <w:t xml:space="preserve"> dominant</w:t>
      </w:r>
      <w:r w:rsidR="003E7A9E">
        <w:t xml:space="preserve"> and subtropical dominant events</w:t>
      </w:r>
      <w:r w:rsidR="00700792">
        <w:t xml:space="preserve">, given that these events lie at opposite ends of the spectrum of </w:t>
      </w:r>
      <w:r w:rsidR="008B164C">
        <w:t xml:space="preserve">the types of PV anomaly interactions </w:t>
      </w:r>
      <w:r w:rsidR="001C0132">
        <w:t>that comprise</w:t>
      </w:r>
      <w:r w:rsidR="00297C8B">
        <w:t xml:space="preserve"> </w:t>
      </w:r>
      <w:r w:rsidR="008B164C">
        <w:t>jet superpositions</w:t>
      </w:r>
      <w:r w:rsidR="00516B9F">
        <w:t>.</w:t>
      </w:r>
      <w:r w:rsidR="00F624D1">
        <w:t xml:space="preserve"> </w:t>
      </w:r>
      <w:r w:rsidR="00516B9F">
        <w:t>Consequently</w:t>
      </w:r>
      <w:r w:rsidR="00AC2735">
        <w:t>,</w:t>
      </w:r>
      <w:r w:rsidR="00F624D1">
        <w:t xml:space="preserve"> hybrid events will not </w:t>
      </w:r>
      <w:r w:rsidR="00613DE7">
        <w:t>be considered in</w:t>
      </w:r>
      <w:r w:rsidR="00C06D05">
        <w:t xml:space="preserve"> this study</w:t>
      </w:r>
      <w:r w:rsidR="00CE7DD8">
        <w:t>.</w:t>
      </w:r>
      <w:r w:rsidR="002A23AE">
        <w:t xml:space="preserve"> Composite analyses are constructed for </w:t>
      </w:r>
      <w:r w:rsidR="00FB7E78">
        <w:t>polar dominant, eastern subtropical dominant, and western subtropical dominant</w:t>
      </w:r>
      <w:r w:rsidR="002A23AE">
        <w:t xml:space="preserve"> event</w:t>
      </w:r>
      <w:r w:rsidR="00FB7E78">
        <w:t xml:space="preserve">s </w:t>
      </w:r>
      <w:r>
        <w:t xml:space="preserve">within the domain, </w:t>
      </w:r>
      <w:r w:rsidRPr="009B7FE4">
        <w:t>10–80°N and 150°E–10°W</w:t>
      </w:r>
      <w:r>
        <w:t xml:space="preserve">, </w:t>
      </w:r>
      <w:r w:rsidR="002A23AE">
        <w:t>following the methodology outlined in Winters et al. (2020; section 4)</w:t>
      </w:r>
      <w:r w:rsidR="00CD5556">
        <w:t>,</w:t>
      </w:r>
      <w:r w:rsidR="002A23AE">
        <w:t xml:space="preserve"> and a gaussian smoother is applied to all composite variables</w:t>
      </w:r>
      <w:r w:rsidR="00CD5556">
        <w:t xml:space="preserve"> prior</w:t>
      </w:r>
      <w:r w:rsidR="002A23AE">
        <w:t xml:space="preserve"> to </w:t>
      </w:r>
      <w:r w:rsidR="00FB7E78">
        <w:t>perform</w:t>
      </w:r>
      <w:r w:rsidR="00CD5556">
        <w:t>ing</w:t>
      </w:r>
      <w:r w:rsidR="002A23AE">
        <w:t xml:space="preserve"> the calculations described in sections 3 and 4.</w:t>
      </w:r>
    </w:p>
    <w:p w14:paraId="2D87EF63" w14:textId="77777777" w:rsidR="00E47E5B" w:rsidRDefault="00E47E5B" w:rsidP="005D54A4">
      <w:pPr>
        <w:spacing w:line="480" w:lineRule="auto"/>
      </w:pPr>
    </w:p>
    <w:p w14:paraId="709565D1" w14:textId="0C4A8586" w:rsidR="00252D45" w:rsidRDefault="006A1AAA" w:rsidP="006A1AAA">
      <w:pPr>
        <w:widowControl w:val="0"/>
        <w:spacing w:line="480" w:lineRule="auto"/>
        <w:rPr>
          <w:b/>
        </w:rPr>
      </w:pPr>
      <w:r>
        <w:rPr>
          <w:b/>
        </w:rPr>
        <w:t xml:space="preserve">3.  </w:t>
      </w:r>
      <w:r w:rsidR="003B189C">
        <w:rPr>
          <w:b/>
        </w:rPr>
        <w:t>The influence of polar cyclonic and tropical anticyclonic PV anomalies</w:t>
      </w:r>
    </w:p>
    <w:p w14:paraId="47636ED4" w14:textId="44E00B12" w:rsidR="00D31E03" w:rsidRPr="00CD01C5" w:rsidRDefault="008323C1" w:rsidP="00CD01C5">
      <w:pPr>
        <w:widowControl w:val="0"/>
        <w:spacing w:line="480" w:lineRule="auto"/>
        <w:ind w:firstLine="360"/>
        <w:rPr>
          <w:i/>
        </w:rPr>
      </w:pPr>
      <w:r>
        <w:rPr>
          <w:i/>
        </w:rPr>
        <w:t>a</w:t>
      </w:r>
      <w:r w:rsidR="001353FC">
        <w:rPr>
          <w:i/>
        </w:rPr>
        <w:t>.</w:t>
      </w:r>
      <w:r>
        <w:rPr>
          <w:i/>
        </w:rPr>
        <w:t xml:space="preserve"> Q</w:t>
      </w:r>
      <w:r w:rsidR="00486A8C">
        <w:rPr>
          <w:i/>
        </w:rPr>
        <w:t xml:space="preserve">uasigeostrophic </w:t>
      </w:r>
      <w:r>
        <w:rPr>
          <w:i/>
        </w:rPr>
        <w:t>PV inversion</w:t>
      </w:r>
    </w:p>
    <w:p w14:paraId="4F58E530" w14:textId="6E5C926E" w:rsidR="00761700" w:rsidRDefault="00BC76ED" w:rsidP="00761700">
      <w:pPr>
        <w:widowControl w:val="0"/>
        <w:spacing w:line="480" w:lineRule="auto"/>
      </w:pPr>
      <w:r>
        <w:tab/>
      </w:r>
      <w:r w:rsidR="008A1AB0">
        <w:t>This study</w:t>
      </w:r>
      <w:r w:rsidR="00C134DF">
        <w:t xml:space="preserve"> </w:t>
      </w:r>
      <w:r w:rsidR="00333008">
        <w:t>adopt</w:t>
      </w:r>
      <w:r w:rsidR="008A1AB0">
        <w:t>s</w:t>
      </w:r>
      <w:r w:rsidR="00333008">
        <w:t xml:space="preserve"> a quasigeostrophic (QG) approach</w:t>
      </w:r>
      <w:r w:rsidR="009D683E">
        <w:t>,</w:t>
      </w:r>
      <w:r w:rsidR="00A20259">
        <w:t xml:space="preserve"> </w:t>
      </w:r>
      <w:r w:rsidR="009D683E">
        <w:t>which</w:t>
      </w:r>
      <w:r w:rsidR="00E87A03">
        <w:t xml:space="preserve"> </w:t>
      </w:r>
      <w:r w:rsidR="00857A66">
        <w:t>defines</w:t>
      </w:r>
      <w:r w:rsidR="004B205B">
        <w:t xml:space="preserve"> the</w:t>
      </w:r>
      <w:r w:rsidR="002E349C">
        <w:t xml:space="preserve"> QGPV</w:t>
      </w:r>
      <w:r w:rsidR="00D16EF2">
        <w:t xml:space="preserve"> (</w:t>
      </w:r>
      <m:oMath>
        <m:r>
          <w:rPr>
            <w:rFonts w:ascii="Cambria Math" w:hAnsi="Cambria Math"/>
          </w:rPr>
          <m:t>q</m:t>
        </m:r>
      </m:oMath>
      <w:r w:rsidR="00D16EF2">
        <w:t>)</w:t>
      </w:r>
      <w:r w:rsidR="00857A66">
        <w:t xml:space="preserve"> </w:t>
      </w:r>
      <w:r w:rsidR="00A20259">
        <w:t>associated with each</w:t>
      </w:r>
      <w:r w:rsidR="002058B1">
        <w:t xml:space="preserve"> jet superposition</w:t>
      </w:r>
      <w:r w:rsidR="00A20259">
        <w:t xml:space="preserve"> event type</w:t>
      </w:r>
      <w:r w:rsidR="00E44C35">
        <w:t xml:space="preserve"> </w:t>
      </w:r>
      <w:r w:rsidR="00E50BDB">
        <w:t>via the following equation (</w:t>
      </w:r>
      <w:r w:rsidR="00C4425C">
        <w:t xml:space="preserve">e.g., </w:t>
      </w:r>
      <w:r w:rsidR="00E44C35">
        <w:t>Charney and Stern 1962</w:t>
      </w:r>
      <w:r w:rsidR="00C4425C">
        <w:t>; Hoskins et al. 1985, pp. 911–915</w:t>
      </w:r>
      <w:r w:rsidR="00E50BDB">
        <w:t>)</w:t>
      </w:r>
      <w:r w:rsidR="002E349C">
        <w:t>:</w:t>
      </w:r>
    </w:p>
    <w:p w14:paraId="7C6C4701" w14:textId="634F9E4D" w:rsidR="002E349C" w:rsidRPr="00761700" w:rsidRDefault="00761700" w:rsidP="00761700">
      <w:pPr>
        <w:widowControl w:val="0"/>
        <w:spacing w:line="480" w:lineRule="auto"/>
      </w:pPr>
      <w:r w:rsidRPr="00717033">
        <w:t xml:space="preserve">                                                 </w:t>
      </w:r>
      <m:oMath>
        <m:r>
          <w:rPr>
            <w:rFonts w:ascii="Cambria Math" w:hAnsi="Cambria Math"/>
          </w:rPr>
          <m:t xml:space="preserve">q=f+ </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f</m:t>
                </m:r>
              </m:e>
              <m:sub>
                <m:r>
                  <w:rPr>
                    <w:rFonts w:ascii="Cambria Math" w:hAnsi="Cambria Math"/>
                  </w:rPr>
                  <m:t>o</m:t>
                </m:r>
              </m:sub>
            </m:sSub>
          </m:den>
        </m:f>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ϕ+</m:t>
        </m:r>
        <m:sSub>
          <m:sSubPr>
            <m:ctrlPr>
              <w:rPr>
                <w:rFonts w:ascii="Cambria Math" w:hAnsi="Cambria Math"/>
                <w:i/>
              </w:rPr>
            </m:ctrlPr>
          </m:sSubPr>
          <m:e>
            <m:r>
              <w:rPr>
                <w:rFonts w:ascii="Cambria Math" w:hAnsi="Cambria Math"/>
              </w:rPr>
              <m:t>f</m:t>
            </m:r>
          </m:e>
          <m:sub>
            <m:r>
              <w:rPr>
                <w:rFonts w:ascii="Cambria Math" w:hAnsi="Cambria Math"/>
              </w:rPr>
              <m:t>o</m:t>
            </m:r>
          </m:sub>
        </m:sSub>
        <m:f>
          <m:fPr>
            <m:ctrlPr>
              <w:rPr>
                <w:rFonts w:ascii="Cambria Math" w:hAnsi="Cambria Math"/>
                <w:i/>
              </w:rPr>
            </m:ctrlPr>
          </m:fPr>
          <m:num>
            <m:r>
              <w:rPr>
                <w:rFonts w:ascii="Cambria Math" w:hAnsi="Cambria Math"/>
              </w:rPr>
              <m:t>∂</m:t>
            </m:r>
          </m:num>
          <m:den>
            <m:r>
              <w:rPr>
                <w:rFonts w:ascii="Cambria Math" w:hAnsi="Cambria Math"/>
              </w:rPr>
              <m:t>∂p</m:t>
            </m:r>
          </m:den>
        </m:f>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σ</m:t>
                    </m:r>
                  </m:e>
                  <m:sub>
                    <m:r>
                      <w:rPr>
                        <w:rFonts w:ascii="Cambria Math" w:hAnsi="Cambria Math"/>
                      </w:rPr>
                      <m:t>r</m:t>
                    </m:r>
                  </m:sub>
                </m:sSub>
              </m:den>
            </m:f>
            <m:f>
              <m:fPr>
                <m:ctrlPr>
                  <w:rPr>
                    <w:rFonts w:ascii="Cambria Math" w:hAnsi="Cambria Math"/>
                    <w:i/>
                  </w:rPr>
                </m:ctrlPr>
              </m:fPr>
              <m:num>
                <m:r>
                  <w:rPr>
                    <w:rFonts w:ascii="Cambria Math" w:hAnsi="Cambria Math"/>
                  </w:rPr>
                  <m:t>∂ϕ</m:t>
                </m:r>
              </m:num>
              <m:den>
                <m:r>
                  <w:rPr>
                    <w:rFonts w:ascii="Cambria Math" w:hAnsi="Cambria Math"/>
                  </w:rPr>
                  <m:t>∂p</m:t>
                </m:r>
              </m:den>
            </m:f>
          </m:e>
        </m:d>
      </m:oMath>
      <w:r w:rsidR="00205D57">
        <w:rPr>
          <w:i/>
        </w:rPr>
        <w:t>,</w:t>
      </w:r>
      <w:r>
        <w:t xml:space="preserve">                                              (1)</w:t>
      </w:r>
    </w:p>
    <w:p w14:paraId="279E94A8" w14:textId="4EECE563" w:rsidR="00600661" w:rsidRDefault="00205D57" w:rsidP="006A1AAA">
      <w:pPr>
        <w:widowControl w:val="0"/>
        <w:spacing w:line="480" w:lineRule="auto"/>
      </w:pPr>
      <w:r>
        <w:t>where</w:t>
      </w:r>
      <w:r w:rsidR="001711EF">
        <w:t xml:space="preserve"> </w:t>
      </w:r>
      <m:oMath>
        <m:r>
          <w:rPr>
            <w:rFonts w:ascii="Cambria Math" w:hAnsi="Cambria Math"/>
          </w:rPr>
          <m:t>f</m:t>
        </m:r>
      </m:oMath>
      <w:r w:rsidR="001711EF">
        <w:t xml:space="preserve"> is </w:t>
      </w:r>
      <w:r w:rsidR="002D6934">
        <w:t>the</w:t>
      </w:r>
      <w:r w:rsidR="00580152">
        <w:t xml:space="preserve"> latitudinally-varying</w:t>
      </w:r>
      <w:r w:rsidR="001711EF">
        <w:t xml:space="preserve"> Coriolis parameter</w:t>
      </w:r>
      <w:r w:rsidR="00737264">
        <w:t>,</w:t>
      </w:r>
      <w:r w:rsidR="001711EF">
        <w:t xml:space="preserve"> </w:t>
      </w:r>
      <m:oMath>
        <m:sSub>
          <m:sSubPr>
            <m:ctrlPr>
              <w:rPr>
                <w:rFonts w:ascii="Cambria Math" w:hAnsi="Cambria Math"/>
                <w:i/>
              </w:rPr>
            </m:ctrlPr>
          </m:sSubPr>
          <m:e>
            <m:r>
              <w:rPr>
                <w:rFonts w:ascii="Cambria Math" w:hAnsi="Cambria Math"/>
              </w:rPr>
              <m:t>f</m:t>
            </m:r>
          </m:e>
          <m:sub>
            <m:r>
              <w:rPr>
                <w:rFonts w:ascii="Cambria Math" w:hAnsi="Cambria Math"/>
              </w:rPr>
              <m:t>o</m:t>
            </m:r>
          </m:sub>
        </m:sSub>
      </m:oMath>
      <w:r w:rsidR="002D6934">
        <w:t xml:space="preserve"> is a constant</w:t>
      </w:r>
      <w:r w:rsidR="00580152">
        <w:t xml:space="preserve"> Coriolis parameter</w:t>
      </w:r>
      <w:r w:rsidR="001711EF">
        <w:rPr>
          <w:i/>
        </w:rPr>
        <w:t xml:space="preserve"> </w:t>
      </w:r>
      <w:r w:rsidR="002D6934">
        <w:t>(</w:t>
      </w:r>
      <w:r w:rsidR="001711EF" w:rsidRPr="008C3F42">
        <w:rPr>
          <w:iCs/>
        </w:rPr>
        <w:t>10</w:t>
      </w:r>
      <w:r w:rsidR="001711EF" w:rsidRPr="008C3F42">
        <w:rPr>
          <w:iCs/>
          <w:vertAlign w:val="superscript"/>
        </w:rPr>
        <w:t xml:space="preserve">–4 </w:t>
      </w:r>
      <w:r w:rsidR="001711EF" w:rsidRPr="008C3F42">
        <w:rPr>
          <w:iCs/>
        </w:rPr>
        <w:t>s</w:t>
      </w:r>
      <w:r w:rsidR="001711EF" w:rsidRPr="009103FB">
        <w:rPr>
          <w:vertAlign w:val="superscript"/>
        </w:rPr>
        <w:t>–</w:t>
      </w:r>
      <w:r w:rsidR="00737264">
        <w:rPr>
          <w:vertAlign w:val="superscript"/>
        </w:rPr>
        <w:t>1</w:t>
      </w:r>
      <w:r w:rsidR="002D6934">
        <w:t>)</w:t>
      </w:r>
      <w:r w:rsidR="001711EF">
        <w:rPr>
          <w:i/>
        </w:rPr>
        <w:t>,</w:t>
      </w:r>
      <w:r w:rsidR="00130BB7">
        <w:rPr>
          <w:i/>
        </w:rPr>
        <w:t xml:space="preserve"> </w:t>
      </w:r>
      <w:r w:rsidR="00130BB7" w:rsidRPr="00130BB7">
        <w:rPr>
          <w:iCs/>
        </w:rPr>
        <w:t>and</w:t>
      </w:r>
      <w:r w:rsidR="00130BB7">
        <w:rPr>
          <w:i/>
        </w:rPr>
        <w:t xml:space="preserve"> </w:t>
      </w:r>
      <w:r w:rsidR="00761700">
        <w:t xml:space="preserve"> </w:t>
      </w:r>
      <m:oMath>
        <m:sSup>
          <m:sSupPr>
            <m:ctrlPr>
              <w:rPr>
                <w:rFonts w:ascii="Cambria Math" w:hAnsi="Cambria Math"/>
              </w:rPr>
            </m:ctrlPr>
          </m:sSupPr>
          <m:e>
            <m:r>
              <m:rPr>
                <m:sty m:val="p"/>
              </m:rPr>
              <w:rPr>
                <w:rFonts w:ascii="Cambria Math" w:hAnsi="Cambria Math"/>
              </w:rPr>
              <m:t>∇</m:t>
            </m:r>
          </m:e>
          <m:sup>
            <m:r>
              <w:rPr>
                <w:rFonts w:ascii="Cambria Math" w:hAnsi="Cambria Math"/>
              </w:rPr>
              <m:t>2</m:t>
            </m:r>
          </m:sup>
        </m:sSup>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d</m:t>
            </m:r>
            <m:sSup>
              <m:sSupPr>
                <m:ctrlPr>
                  <w:rPr>
                    <w:rFonts w:ascii="Cambria Math" w:hAnsi="Cambria Math"/>
                    <w:i/>
                  </w:rPr>
                </m:ctrlPr>
              </m:sSupPr>
              <m:e>
                <m:r>
                  <w:rPr>
                    <w:rFonts w:ascii="Cambria Math" w:hAnsi="Cambria Math"/>
                  </w:rPr>
                  <m:t>y</m:t>
                </m:r>
              </m:e>
              <m:sup>
                <m:r>
                  <w:rPr>
                    <w:rFonts w:ascii="Cambria Math" w:hAnsi="Cambria Math"/>
                  </w:rPr>
                  <m:t>2</m:t>
                </m:r>
              </m:sup>
            </m:sSup>
          </m:den>
        </m:f>
        <m:r>
          <w:rPr>
            <w:rFonts w:ascii="Cambria Math" w:hAnsi="Cambria Math"/>
          </w:rPr>
          <m:t>)</m:t>
        </m:r>
      </m:oMath>
      <w:r w:rsidR="00761700">
        <w:t xml:space="preserve"> is the two-dimensional </w:t>
      </w:r>
      <w:r w:rsidR="009D683E">
        <w:t>L</w:t>
      </w:r>
      <w:r w:rsidR="00F62286">
        <w:t>aplacian</w:t>
      </w:r>
      <w:r w:rsidR="00761700">
        <w:t xml:space="preserve"> operator </w:t>
      </w:r>
      <w:r w:rsidR="00591BEF">
        <w:t>o</w:t>
      </w:r>
      <w:r w:rsidR="00761700">
        <w:t>n</w:t>
      </w:r>
      <w:r w:rsidR="00591BEF">
        <w:t xml:space="preserve"> an</w:t>
      </w:r>
      <w:r w:rsidR="00761700">
        <w:t xml:space="preserve"> </w:t>
      </w:r>
      <w:r w:rsidR="00130BB7">
        <w:t>isobaric</w:t>
      </w:r>
      <w:r w:rsidR="00761700">
        <w:t xml:space="preserve"> </w:t>
      </w:r>
      <w:r w:rsidR="00591BEF">
        <w:t>surface</w:t>
      </w:r>
      <w:r w:rsidR="001711EF">
        <w:t xml:space="preserve">. The static stability coefficient </w:t>
      </w:r>
      <w:r w:rsidR="00CA7CE2">
        <w:t>[</w:t>
      </w:r>
      <m:oMath>
        <m:sSub>
          <m:sSubPr>
            <m:ctrlPr>
              <w:rPr>
                <w:rFonts w:ascii="Cambria Math" w:hAnsi="Cambria Math"/>
                <w:i/>
              </w:rPr>
            </m:ctrlPr>
          </m:sSubPr>
          <m:e>
            <m:r>
              <w:rPr>
                <w:rFonts w:ascii="Cambria Math" w:hAnsi="Cambria Math"/>
              </w:rPr>
              <m:t>σ</m:t>
            </m:r>
          </m:e>
          <m:sub>
            <m:r>
              <w:rPr>
                <w:rFonts w:ascii="Cambria Math" w:hAnsi="Cambria Math"/>
              </w:rPr>
              <m:t>r</m:t>
            </m:r>
          </m:sub>
        </m:sSub>
        <m:r>
          <w:rPr>
            <w:rFonts w:ascii="Cambria Math" w:hAnsi="Cambria Math"/>
          </w:rPr>
          <m:t>=–(</m:t>
        </m:r>
        <m:f>
          <m:fPr>
            <m:type m:val="lin"/>
            <m:ctrlPr>
              <w:rPr>
                <w:rFonts w:ascii="Cambria Math" w:hAnsi="Cambria Math"/>
                <w:i/>
              </w:rPr>
            </m:ctrlPr>
          </m:fPr>
          <m:num>
            <m:sSub>
              <m:sSubPr>
                <m:ctrlPr>
                  <w:rPr>
                    <w:rFonts w:ascii="Cambria Math" w:hAnsi="Cambria Math"/>
                    <w:i/>
                  </w:rPr>
                </m:ctrlPr>
              </m:sSubPr>
              <m:e>
                <m:r>
                  <m:rPr>
                    <m:sty m:val="p"/>
                  </m:rPr>
                  <w:rPr>
                    <w:rFonts w:ascii="Cambria Math" w:hAnsi="Cambria Math"/>
                  </w:rPr>
                  <m:t>α</m:t>
                </m:r>
              </m:e>
              <m:sub>
                <m:r>
                  <w:rPr>
                    <w:rFonts w:ascii="Cambria Math" w:hAnsi="Cambria Math"/>
                  </w:rPr>
                  <m:t>r</m:t>
                </m:r>
              </m:sub>
            </m:sSub>
          </m:num>
          <m:den>
            <m:sSub>
              <m:sSubPr>
                <m:ctrlPr>
                  <w:rPr>
                    <w:rFonts w:ascii="Cambria Math" w:hAnsi="Cambria Math"/>
                    <w:i/>
                  </w:rPr>
                </m:ctrlPr>
              </m:sSubPr>
              <m:e>
                <m:r>
                  <m:rPr>
                    <m:sty m:val="p"/>
                  </m:rPr>
                  <w:rPr>
                    <w:rFonts w:ascii="Cambria Math" w:hAnsi="Cambria Math"/>
                  </w:rPr>
                  <m:t>Θ</m:t>
                </m:r>
              </m:e>
              <m:sub>
                <m:r>
                  <w:rPr>
                    <w:rFonts w:ascii="Cambria Math" w:hAnsi="Cambria Math"/>
                  </w:rPr>
                  <m:t>r</m:t>
                </m:r>
              </m:sub>
            </m:sSub>
          </m:den>
        </m:f>
        <m:r>
          <w:rPr>
            <w:rFonts w:ascii="Cambria Math" w:hAnsi="Cambria Math"/>
          </w:rPr>
          <m:t>)(∂</m:t>
        </m:r>
        <m:sSub>
          <m:sSubPr>
            <m:ctrlPr>
              <w:rPr>
                <w:rFonts w:ascii="Cambria Math" w:hAnsi="Cambria Math"/>
                <w:i/>
              </w:rPr>
            </m:ctrlPr>
          </m:sSubPr>
          <m:e>
            <m:r>
              <m:rPr>
                <m:sty m:val="p"/>
              </m:rPr>
              <w:rPr>
                <w:rFonts w:ascii="Cambria Math" w:hAnsi="Cambria Math"/>
              </w:rPr>
              <m:t>Θ</m:t>
            </m:r>
          </m:e>
          <m:sub>
            <m:r>
              <w:rPr>
                <w:rFonts w:ascii="Cambria Math" w:hAnsi="Cambria Math"/>
              </w:rPr>
              <m:t>r</m:t>
            </m:r>
          </m:sub>
        </m:sSub>
        <m:r>
          <w:rPr>
            <w:rFonts w:ascii="Cambria Math" w:hAnsi="Cambria Math"/>
          </w:rPr>
          <m:t>/∂p</m:t>
        </m:r>
      </m:oMath>
      <w:r w:rsidR="001711EF">
        <w:t>)</w:t>
      </w:r>
      <w:r w:rsidR="00CA7CE2">
        <w:t>]</w:t>
      </w:r>
      <w:r w:rsidR="001711EF">
        <w:t xml:space="preserve"> </w:t>
      </w:r>
      <w:r w:rsidR="00591BEF">
        <w:t>is horizontally homogenous</w:t>
      </w:r>
      <w:r w:rsidR="001711EF">
        <w:t xml:space="preserve">, </w:t>
      </w:r>
      <w:r w:rsidR="002D6934">
        <w:t>where</w:t>
      </w:r>
      <w:r w:rsidR="002365E5">
        <w:t xml:space="preserve"> </w:t>
      </w:r>
      <m:oMath>
        <m:sSub>
          <m:sSubPr>
            <m:ctrlPr>
              <w:rPr>
                <w:rFonts w:ascii="Cambria Math" w:hAnsi="Cambria Math"/>
                <w:i/>
              </w:rPr>
            </m:ctrlPr>
          </m:sSubPr>
          <m:e>
            <m:r>
              <m:rPr>
                <m:sty m:val="p"/>
              </m:rPr>
              <w:rPr>
                <w:rFonts w:ascii="Cambria Math" w:hAnsi="Cambria Math"/>
              </w:rPr>
              <m:t>α</m:t>
            </m:r>
          </m:e>
          <m:sub>
            <m:r>
              <w:rPr>
                <w:rFonts w:ascii="Cambria Math" w:hAnsi="Cambria Math"/>
              </w:rPr>
              <m:t>r</m:t>
            </m:r>
          </m:sub>
        </m:sSub>
      </m:oMath>
      <w:r w:rsidR="008C3F42">
        <w:t xml:space="preserve"> and </w:t>
      </w:r>
      <m:oMath>
        <m:sSub>
          <m:sSubPr>
            <m:ctrlPr>
              <w:rPr>
                <w:rFonts w:ascii="Cambria Math" w:hAnsi="Cambria Math"/>
                <w:i/>
              </w:rPr>
            </m:ctrlPr>
          </m:sSubPr>
          <m:e>
            <m:r>
              <m:rPr>
                <m:sty m:val="p"/>
              </m:rPr>
              <w:rPr>
                <w:rFonts w:ascii="Cambria Math" w:hAnsi="Cambria Math"/>
              </w:rPr>
              <m:t>Θ</m:t>
            </m:r>
          </m:e>
          <m:sub>
            <m:r>
              <w:rPr>
                <w:rFonts w:ascii="Cambria Math" w:hAnsi="Cambria Math"/>
              </w:rPr>
              <m:t>r</m:t>
            </m:r>
          </m:sub>
        </m:sSub>
      </m:oMath>
      <w:r w:rsidR="008C3F42">
        <w:t xml:space="preserve"> </w:t>
      </w:r>
      <w:r w:rsidR="00E41266">
        <w:t xml:space="preserve">are the specific volume and </w:t>
      </w:r>
      <w:r w:rsidR="008C3F42">
        <w:t>potential temperature</w:t>
      </w:r>
      <w:r w:rsidR="00A46FDA">
        <w:t xml:space="preserve">, respectively, </w:t>
      </w:r>
      <w:r w:rsidR="008C3F42">
        <w:t xml:space="preserve">on an isobaric surface </w:t>
      </w:r>
      <w:r w:rsidR="00A63C0B">
        <w:t>with</w:t>
      </w:r>
      <w:r w:rsidR="00CA7CE2">
        <w:t>in</w:t>
      </w:r>
      <w:r w:rsidR="008C3F42">
        <w:t xml:space="preserve"> </w:t>
      </w:r>
      <w:r w:rsidR="00591BEF">
        <w:t>a</w:t>
      </w:r>
      <w:r w:rsidR="00066CD1">
        <w:t xml:space="preserve">n arbitrary </w:t>
      </w:r>
      <w:r w:rsidR="00591BEF">
        <w:t>reference atmosphere</w:t>
      </w:r>
      <w:r w:rsidR="00971E5E">
        <w:t>. The reference atmosphere</w:t>
      </w:r>
      <w:r w:rsidR="00471788">
        <w:t xml:space="preserve"> </w:t>
      </w:r>
      <w:r w:rsidR="00971E5E">
        <w:t>is chosen to be</w:t>
      </w:r>
      <w:r w:rsidR="00471788">
        <w:t xml:space="preserve"> the U.S. Standard Atmosphere in this study</w:t>
      </w:r>
      <w:r w:rsidR="005C0078">
        <w:t>,</w:t>
      </w:r>
      <w:r w:rsidR="00016A49">
        <w:t xml:space="preserve"> and</w:t>
      </w:r>
      <w:r w:rsidR="005C0078">
        <w:t xml:space="preserve"> </w:t>
      </w:r>
      <m:oMath>
        <m:r>
          <w:rPr>
            <w:rFonts w:ascii="Cambria Math" w:hAnsi="Cambria Math"/>
          </w:rPr>
          <m:t>ϕ</m:t>
        </m:r>
      </m:oMath>
      <w:r w:rsidR="00540D38">
        <w:t xml:space="preserve"> </w:t>
      </w:r>
      <w:r w:rsidR="005C0078">
        <w:t xml:space="preserve">is defined as </w:t>
      </w:r>
      <w:r w:rsidR="00016A49">
        <w:t>t</w:t>
      </w:r>
      <w:r w:rsidR="00717033">
        <w:t>he</w:t>
      </w:r>
      <w:r w:rsidR="00CC453E">
        <w:t xml:space="preserve"> difference between</w:t>
      </w:r>
      <w:r w:rsidR="00717033">
        <w:t xml:space="preserve"> </w:t>
      </w:r>
      <w:r w:rsidR="00471788">
        <w:t>the</w:t>
      </w:r>
      <w:r w:rsidR="00857A66">
        <w:t xml:space="preserve"> composite</w:t>
      </w:r>
      <w:r w:rsidR="00471788">
        <w:t xml:space="preserve"> geopotential</w:t>
      </w:r>
      <w:r w:rsidR="002675E2">
        <w:t xml:space="preserve"> </w:t>
      </w:r>
      <w:r w:rsidR="00304519">
        <w:t>(</w:t>
      </w:r>
      <m:oMath>
        <m:r>
          <m:rPr>
            <m:sty m:val="p"/>
          </m:rPr>
          <w:rPr>
            <w:rFonts w:ascii="Cambria Math" w:hAnsi="Cambria Math"/>
          </w:rPr>
          <m:t>Φ</m:t>
        </m:r>
      </m:oMath>
      <w:r w:rsidR="00304519">
        <w:t>)</w:t>
      </w:r>
      <w:r w:rsidR="001976C0">
        <w:t xml:space="preserve"> </w:t>
      </w:r>
      <w:r w:rsidR="00C10872">
        <w:t xml:space="preserve">associated with a particular jet superposition event type </w:t>
      </w:r>
      <w:r w:rsidR="00B75FF9">
        <w:t>and</w:t>
      </w:r>
      <w:r w:rsidR="00737264">
        <w:t xml:space="preserve"> </w:t>
      </w:r>
      <w:r w:rsidR="00B86274">
        <w:t>the reference geopotential</w:t>
      </w:r>
      <w:r w:rsidR="0078710B">
        <w:t xml:space="preserve"> </w:t>
      </w:r>
      <w:r w:rsidR="00304519">
        <w:t>(</w:t>
      </w:r>
      <m:oMath>
        <m:sSub>
          <m:sSubPr>
            <m:ctrlPr>
              <w:rPr>
                <w:rFonts w:ascii="Cambria Math" w:hAnsi="Cambria Math"/>
                <w:i/>
              </w:rPr>
            </m:ctrlPr>
          </m:sSubPr>
          <m:e>
            <m:r>
              <m:rPr>
                <m:sty m:val="p"/>
              </m:rPr>
              <w:rPr>
                <w:rFonts w:ascii="Cambria Math" w:hAnsi="Cambria Math"/>
              </w:rPr>
              <m:t>Φ</m:t>
            </m:r>
          </m:e>
          <m:sub>
            <m:r>
              <w:rPr>
                <w:rFonts w:ascii="Cambria Math" w:hAnsi="Cambria Math"/>
              </w:rPr>
              <m:t>r</m:t>
            </m:r>
          </m:sub>
        </m:sSub>
      </m:oMath>
      <w:r w:rsidR="00304519">
        <w:t>)</w:t>
      </w:r>
      <w:r w:rsidR="00B75FF9">
        <w:t xml:space="preserve">, such that </w:t>
      </w:r>
      <m:oMath>
        <m:r>
          <w:rPr>
            <w:rFonts w:ascii="Cambria Math" w:hAnsi="Cambria Math"/>
          </w:rPr>
          <m:t>ϕ=</m:t>
        </m:r>
        <m:r>
          <m:rPr>
            <m:sty m:val="p"/>
          </m:rPr>
          <w:rPr>
            <w:rFonts w:ascii="Cambria Math" w:hAnsi="Cambria Math"/>
          </w:rPr>
          <m:t>Φ</m:t>
        </m:r>
        <m:r>
          <w:rPr>
            <w:rFonts w:ascii="Cambria Math" w:hAnsi="Cambria Math"/>
          </w:rPr>
          <m:t>-</m:t>
        </m:r>
        <m:sSub>
          <m:sSubPr>
            <m:ctrlPr>
              <w:rPr>
                <w:rFonts w:ascii="Cambria Math" w:hAnsi="Cambria Math"/>
                <w:i/>
              </w:rPr>
            </m:ctrlPr>
          </m:sSubPr>
          <m:e>
            <m:r>
              <m:rPr>
                <m:sty m:val="p"/>
              </m:rPr>
              <w:rPr>
                <w:rFonts w:ascii="Cambria Math" w:hAnsi="Cambria Math"/>
              </w:rPr>
              <m:t>Φ</m:t>
            </m:r>
          </m:e>
          <m:sub>
            <m:r>
              <w:rPr>
                <w:rFonts w:ascii="Cambria Math" w:hAnsi="Cambria Math"/>
              </w:rPr>
              <m:t>r</m:t>
            </m:r>
          </m:sub>
        </m:sSub>
      </m:oMath>
      <w:r w:rsidR="00717033">
        <w:t>.</w:t>
      </w:r>
      <w:r w:rsidR="005430BA">
        <w:t xml:space="preserve"> </w:t>
      </w:r>
    </w:p>
    <w:p w14:paraId="4EFE68C2" w14:textId="38313A42" w:rsidR="00D9420D" w:rsidRDefault="00600661" w:rsidP="00734584">
      <w:pPr>
        <w:widowControl w:val="0"/>
        <w:spacing w:line="480" w:lineRule="auto"/>
      </w:pPr>
      <w:r>
        <w:tab/>
        <w:t>Although</w:t>
      </w:r>
      <w:r w:rsidR="00915513">
        <w:t xml:space="preserve"> individual jet superposition event</w:t>
      </w:r>
      <w:r w:rsidR="009C297E">
        <w:t xml:space="preserve">s </w:t>
      </w:r>
      <w:r w:rsidR="00E72253">
        <w:t xml:space="preserve">can </w:t>
      </w:r>
      <w:r w:rsidR="00915513">
        <w:t>be characterized b</w:t>
      </w:r>
      <w:r w:rsidR="00737264">
        <w:t>y</w:t>
      </w:r>
      <w:r w:rsidR="00915513">
        <w:t xml:space="preserve"> Rossby number</w:t>
      </w:r>
      <w:r w:rsidR="00C52930">
        <w:t>s</w:t>
      </w:r>
      <w:r w:rsidR="00D173DE">
        <w:t xml:space="preserve"> </w:t>
      </w:r>
      <w:r w:rsidR="009C297E">
        <w:t>o</w:t>
      </w:r>
      <w:r w:rsidR="00C52930">
        <w:t>f</w:t>
      </w:r>
      <w:r w:rsidR="009C297E">
        <w:t xml:space="preserve"> order </w:t>
      </w:r>
      <w:r w:rsidR="00EF3C1E">
        <w:t>1</w:t>
      </w:r>
      <w:r w:rsidR="00E626CD">
        <w:t xml:space="preserve"> (</w:t>
      </w:r>
      <w:r w:rsidR="00611601">
        <w:t>Winters and Martin</w:t>
      </w:r>
      <w:r w:rsidR="00E626CD">
        <w:t xml:space="preserve"> 2014,</w:t>
      </w:r>
      <w:r w:rsidR="00E72253">
        <w:t xml:space="preserve"> 2016,</w:t>
      </w:r>
      <w:r w:rsidR="00E626CD">
        <w:t xml:space="preserve"> 2017)</w:t>
      </w:r>
      <w:r w:rsidR="00915513">
        <w:t>, useful information can be obtained from QGPV inversion</w:t>
      </w:r>
      <w:r w:rsidR="005E45A5">
        <w:t>,</w:t>
      </w:r>
      <w:r w:rsidR="00915513">
        <w:t xml:space="preserve"> so long as the QGPV distribution</w:t>
      </w:r>
      <w:r>
        <w:t xml:space="preserve"> agrees</w:t>
      </w:r>
      <w:r w:rsidR="00915513">
        <w:t xml:space="preserve"> qualitatively with the structure of the full</w:t>
      </w:r>
      <w:r w:rsidR="00AF5F8A">
        <w:t xml:space="preserve"> Ertel</w:t>
      </w:r>
      <w:r w:rsidR="00915513">
        <w:t xml:space="preserve"> PV (</w:t>
      </w:r>
      <w:r w:rsidR="00B36474">
        <w:t xml:space="preserve">e.g., </w:t>
      </w:r>
      <w:r w:rsidR="00915513">
        <w:t>Davis 1992</w:t>
      </w:r>
      <w:r w:rsidR="00BF0C9F">
        <w:t>b</w:t>
      </w:r>
      <w:r w:rsidR="00915513">
        <w:t xml:space="preserve">; Hakim et al. 1996). </w:t>
      </w:r>
      <w:r w:rsidR="005D724D">
        <w:t xml:space="preserve">To this </w:t>
      </w:r>
      <w:r w:rsidR="007B6F1E">
        <w:t>point</w:t>
      </w:r>
      <w:r w:rsidR="005D724D">
        <w:t xml:space="preserve">, Figs. </w:t>
      </w:r>
      <w:r w:rsidR="00163BDA">
        <w:t>4</w:t>
      </w:r>
      <w:r w:rsidR="005D724D">
        <w:t xml:space="preserve">a–c </w:t>
      </w:r>
      <w:r w:rsidR="00F838A0">
        <w:t>reveal</w:t>
      </w:r>
      <w:r w:rsidR="007B6F1E">
        <w:t xml:space="preserve"> that</w:t>
      </w:r>
      <w:r w:rsidR="005D724D">
        <w:t xml:space="preserve"> </w:t>
      </w:r>
      <w:r w:rsidR="007B6F1E">
        <w:t>the</w:t>
      </w:r>
      <w:r w:rsidR="00E626CD">
        <w:t xml:space="preserve"> distributions of</w:t>
      </w:r>
      <w:r w:rsidR="00156DE0">
        <w:t xml:space="preserve"> 300-hPa</w:t>
      </w:r>
      <w:r w:rsidR="007B6F1E">
        <w:t xml:space="preserve"> QGPV</w:t>
      </w:r>
      <w:r w:rsidR="00915513">
        <w:t xml:space="preserve"> </w:t>
      </w:r>
      <w:r>
        <w:t>[</w:t>
      </w:r>
      <w:r w:rsidR="00915513">
        <w:t xml:space="preserve">scaled by </w:t>
      </w:r>
      <m:oMath>
        <m:r>
          <w:rPr>
            <w:rFonts w:ascii="Cambria Math" w:hAnsi="Cambria Math"/>
          </w:rPr>
          <m:t>-g(∂</m:t>
        </m:r>
        <m:sSub>
          <m:sSubPr>
            <m:ctrlPr>
              <w:rPr>
                <w:rFonts w:ascii="Cambria Math" w:hAnsi="Cambria Math"/>
                <w:i/>
              </w:rPr>
            </m:ctrlPr>
          </m:sSubPr>
          <m:e>
            <m:r>
              <m:rPr>
                <m:sty m:val="p"/>
              </m:rPr>
              <w:rPr>
                <w:rFonts w:ascii="Cambria Math" w:hAnsi="Cambria Math"/>
              </w:rPr>
              <m:t>Θ</m:t>
            </m:r>
          </m:e>
          <m:sub>
            <m:r>
              <w:rPr>
                <w:rFonts w:ascii="Cambria Math" w:hAnsi="Cambria Math"/>
              </w:rPr>
              <m:t>r</m:t>
            </m:r>
          </m:sub>
        </m:sSub>
        <m:r>
          <w:rPr>
            <w:rFonts w:ascii="Cambria Math" w:hAnsi="Cambria Math"/>
          </w:rPr>
          <m:t>/∂p)</m:t>
        </m:r>
      </m:oMath>
      <w:r>
        <w:t>]</w:t>
      </w:r>
      <w:r w:rsidR="007B6F1E">
        <w:t xml:space="preserve"> and </w:t>
      </w:r>
      <w:r w:rsidR="00DF5B16">
        <w:t>300-hPa</w:t>
      </w:r>
      <w:r w:rsidR="00AF5F8A">
        <w:t xml:space="preserve"> Ertel</w:t>
      </w:r>
      <w:r w:rsidR="007B6F1E">
        <w:t xml:space="preserve"> PV</w:t>
      </w:r>
      <w:r w:rsidR="00915513">
        <w:t xml:space="preserve"> </w:t>
      </w:r>
      <w:r w:rsidR="007B6F1E">
        <w:t>are</w:t>
      </w:r>
      <w:r w:rsidR="00163BDA">
        <w:t xml:space="preserve"> </w:t>
      </w:r>
      <w:r w:rsidR="00611601">
        <w:t>strongly</w:t>
      </w:r>
      <w:r w:rsidR="00163BDA">
        <w:t xml:space="preserve"> correlated and</w:t>
      </w:r>
      <w:r w:rsidR="007B6F1E">
        <w:t xml:space="preserve"> qualitatively similar across all event type composites at the time of jet superposition.</w:t>
      </w:r>
      <w:r w:rsidR="005E45A5">
        <w:t xml:space="preserve"> </w:t>
      </w:r>
      <w:r w:rsidR="001E4FCA">
        <w:t>P</w:t>
      </w:r>
      <w:r w:rsidR="00156DE0">
        <w:t>rior applications</w:t>
      </w:r>
      <w:r w:rsidR="001E4FCA">
        <w:t xml:space="preserve"> of QGPV inversion </w:t>
      </w:r>
      <w:r w:rsidR="00090661">
        <w:t>to</w:t>
      </w:r>
      <w:r w:rsidR="009E5EED">
        <w:t xml:space="preserve"> </w:t>
      </w:r>
      <w:r w:rsidR="00073648">
        <w:t>the synoptic-scale flow pattern</w:t>
      </w:r>
      <w:r w:rsidR="0039283D">
        <w:t xml:space="preserve"> </w:t>
      </w:r>
      <w:r w:rsidR="001E4FCA">
        <w:t>(e.g., Holopainen and Kaurola 1991; Black and Dole 1993; Hakim et al. 1996; Nielsen-Gammon and Lefevre 1996; Wandishin et al. 2000</w:t>
      </w:r>
      <w:r w:rsidR="0039283D">
        <w:t xml:space="preserve">; </w:t>
      </w:r>
      <w:r w:rsidR="001E4FCA">
        <w:t>Breeden and Martin 2018, 2019)</w:t>
      </w:r>
      <w:r w:rsidR="00090661">
        <w:t xml:space="preserve"> </w:t>
      </w:r>
      <w:r w:rsidR="00156DE0">
        <w:t>provide</w:t>
      </w:r>
      <w:r w:rsidR="00090661">
        <w:t xml:space="preserve"> </w:t>
      </w:r>
      <w:r w:rsidR="00762DE1">
        <w:t>additional</w:t>
      </w:r>
      <w:r w:rsidR="00156DE0">
        <w:t xml:space="preserve"> confidence in </w:t>
      </w:r>
      <w:r w:rsidR="00EC6D0B">
        <w:t xml:space="preserve">the utility </w:t>
      </w:r>
      <w:r w:rsidR="00156DE0">
        <w:t xml:space="preserve">of QGPV inversion </w:t>
      </w:r>
      <w:r w:rsidR="00EC6D0B">
        <w:t>for investigating</w:t>
      </w:r>
      <w:r w:rsidR="005E45A5">
        <w:t xml:space="preserve"> </w:t>
      </w:r>
      <w:r w:rsidR="00156DE0">
        <w:t>jet superposition</w:t>
      </w:r>
      <w:r w:rsidR="00FD16D6">
        <w:t xml:space="preserve"> </w:t>
      </w:r>
      <w:r w:rsidR="00156DE0">
        <w:t>environments.</w:t>
      </w:r>
    </w:p>
    <w:p w14:paraId="7F93662E" w14:textId="62037F0C" w:rsidR="00DF6B7F" w:rsidRDefault="00D9420D" w:rsidP="005B24BF">
      <w:pPr>
        <w:widowControl w:val="0"/>
        <w:spacing w:line="480" w:lineRule="auto"/>
      </w:pPr>
      <w:r>
        <w:tab/>
      </w:r>
      <w:r w:rsidR="00807DB5">
        <w:t>The</w:t>
      </w:r>
      <w:r w:rsidR="00824822">
        <w:t xml:space="preserve"> </w:t>
      </w:r>
      <w:r w:rsidR="00F87A97">
        <w:t>QG</w:t>
      </w:r>
      <w:r w:rsidR="00207B37">
        <w:t>PV</w:t>
      </w:r>
      <w:r w:rsidR="00836BAF">
        <w:t xml:space="preserve"> (</w:t>
      </w:r>
      <m:oMath>
        <m:r>
          <w:rPr>
            <w:rFonts w:ascii="Cambria Math" w:hAnsi="Cambria Math"/>
          </w:rPr>
          <m:t>q</m:t>
        </m:r>
      </m:oMath>
      <w:r w:rsidR="00836BAF">
        <w:t>)</w:t>
      </w:r>
      <w:r w:rsidR="00207B37">
        <w:t xml:space="preserve"> distribution can be partitioned </w:t>
      </w:r>
      <w:r w:rsidR="00F87A97">
        <w:t>into</w:t>
      </w:r>
      <w:r w:rsidR="00824822">
        <w:t xml:space="preserve"> a mean QGPV (</w:t>
      </w:r>
      <m:oMath>
        <m:sSub>
          <m:sSubPr>
            <m:ctrlPr>
              <w:rPr>
                <w:rFonts w:ascii="Cambria Math" w:hAnsi="Cambria Math"/>
                <w:i/>
              </w:rPr>
            </m:ctrlPr>
          </m:sSubPr>
          <m:e>
            <m:r>
              <w:rPr>
                <w:rFonts w:ascii="Cambria Math" w:hAnsi="Cambria Math"/>
              </w:rPr>
              <m:t>q</m:t>
            </m:r>
          </m:e>
          <m:sub>
            <m:r>
              <w:rPr>
                <w:rFonts w:ascii="Cambria Math" w:hAnsi="Cambria Math"/>
              </w:rPr>
              <m:t>m</m:t>
            </m:r>
          </m:sub>
        </m:sSub>
      </m:oMath>
      <w:r w:rsidR="00824822">
        <w:t>) and an additional</w:t>
      </w:r>
      <w:r w:rsidR="00F87A97">
        <w:t xml:space="preserve"> </w:t>
      </w:r>
      <m:oMath>
        <m:r>
          <w:rPr>
            <w:rFonts w:ascii="Cambria Math" w:hAnsi="Cambria Math"/>
          </w:rPr>
          <m:t>n</m:t>
        </m:r>
      </m:oMath>
      <w:r w:rsidR="00F87A97">
        <w:t xml:space="preserve"> discrete </w:t>
      </w:r>
      <w:r w:rsidR="00AE00D9">
        <w:t>categories</w:t>
      </w:r>
      <w:r w:rsidR="00F87A97">
        <w:t xml:space="preserve"> that group together</w:t>
      </w:r>
      <w:r w:rsidR="00B356F2">
        <w:t xml:space="preserve"> </w:t>
      </w:r>
      <w:r w:rsidR="00AE00D9">
        <w:t>subsets</w:t>
      </w:r>
      <w:r w:rsidR="00B356F2">
        <w:t xml:space="preserve"> of the</w:t>
      </w:r>
      <w:r w:rsidR="00F424F0">
        <w:t xml:space="preserve"> perturbation</w:t>
      </w:r>
      <w:r w:rsidR="00F87A97">
        <w:t xml:space="preserve"> QGPV</w:t>
      </w:r>
      <w:r w:rsidR="00AB3886">
        <w:t xml:space="preserve"> (</w:t>
      </w:r>
      <m:oMath>
        <m:r>
          <w:rPr>
            <w:rFonts w:ascii="Cambria Math" w:hAnsi="Cambria Math"/>
          </w:rPr>
          <m:t>q'</m:t>
        </m:r>
      </m:oMath>
      <w:r w:rsidR="00AB3886">
        <w:t>)</w:t>
      </w:r>
      <w:r w:rsidR="00B356F2">
        <w:t xml:space="preserve"> that </w:t>
      </w:r>
      <w:r w:rsidR="00AE00D9">
        <w:t>are of</w:t>
      </w:r>
      <w:r w:rsidR="00F87A97">
        <w:t xml:space="preserve"> </w:t>
      </w:r>
      <w:r w:rsidR="00B356F2">
        <w:t>similar</w:t>
      </w:r>
      <w:r w:rsidR="007B68F3">
        <w:t xml:space="preserve"> origin or</w:t>
      </w:r>
      <w:r w:rsidR="00784CD9">
        <w:t xml:space="preserve"> </w:t>
      </w:r>
      <w:r w:rsidR="00F87A97">
        <w:t>dynamic</w:t>
      </w:r>
      <w:r w:rsidR="008C3F42">
        <w:t>al</w:t>
      </w:r>
      <w:r w:rsidR="00F87A97">
        <w:t xml:space="preserve"> significance, such that </w:t>
      </w:r>
      <m:oMath>
        <m:r>
          <w:rPr>
            <w:rFonts w:ascii="Cambria Math" w:hAnsi="Cambria Math"/>
          </w:rPr>
          <m:t xml:space="preserve">q= </m:t>
        </m:r>
        <m:sSub>
          <m:sSubPr>
            <m:ctrlPr>
              <w:rPr>
                <w:rFonts w:ascii="Cambria Math" w:hAnsi="Cambria Math"/>
                <w:i/>
              </w:rPr>
            </m:ctrlPr>
          </m:sSubPr>
          <m:e>
            <m:r>
              <w:rPr>
                <w:rFonts w:ascii="Cambria Math" w:hAnsi="Cambria Math"/>
              </w:rPr>
              <m:t>q</m:t>
            </m:r>
          </m:e>
          <m:sub>
            <m:r>
              <w:rPr>
                <w:rFonts w:ascii="Cambria Math" w:hAnsi="Cambria Math"/>
              </w:rPr>
              <m:t>m</m:t>
            </m:r>
          </m:sub>
        </m:sSub>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m</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m:t>
            </m:r>
          </m:e>
        </m:nary>
      </m:oMath>
      <w:r w:rsidR="00F87A97">
        <w:t xml:space="preserve">. </w:t>
      </w:r>
      <w:r w:rsidR="00491668">
        <w:t xml:space="preserve">Table 1 </w:t>
      </w:r>
      <w:r w:rsidR="00836BAF">
        <w:t>lists</w:t>
      </w:r>
      <w:r w:rsidR="00491668">
        <w:t xml:space="preserve"> the criteria used to partition the QGPV</w:t>
      </w:r>
      <w:r w:rsidR="000D7955">
        <w:t xml:space="preserve"> distribution</w:t>
      </w:r>
      <w:r w:rsidR="00491668">
        <w:t xml:space="preserve"> </w:t>
      </w:r>
      <w:r w:rsidR="003549DF">
        <w:t>during</w:t>
      </w:r>
      <w:r w:rsidR="00491668">
        <w:t xml:space="preserve"> </w:t>
      </w:r>
      <w:r w:rsidR="006E4CD5">
        <w:t>polar</w:t>
      </w:r>
      <w:r w:rsidR="00DB3BE0">
        <w:t xml:space="preserve"> dominant</w:t>
      </w:r>
      <w:r w:rsidR="006E4CD5">
        <w:t>, eastern subtropical</w:t>
      </w:r>
      <w:r w:rsidR="00DB3BE0">
        <w:t xml:space="preserve"> dominant</w:t>
      </w:r>
      <w:r w:rsidR="006E4CD5">
        <w:t>, and western subtropical dominant events</w:t>
      </w:r>
      <w:r w:rsidR="00491668">
        <w:t xml:space="preserve">. </w:t>
      </w:r>
      <w:r w:rsidR="003C3ABC">
        <w:t>The mean QGPV</w:t>
      </w:r>
      <w:r w:rsidR="00F17744">
        <w:t xml:space="preserve"> (</w:t>
      </w:r>
      <m:oMath>
        <m:sSub>
          <m:sSubPr>
            <m:ctrlPr>
              <w:rPr>
                <w:rFonts w:ascii="Cambria Math" w:hAnsi="Cambria Math"/>
                <w:i/>
              </w:rPr>
            </m:ctrlPr>
          </m:sSubPr>
          <m:e>
            <m:r>
              <w:rPr>
                <w:rFonts w:ascii="Cambria Math" w:hAnsi="Cambria Math"/>
              </w:rPr>
              <m:t>q</m:t>
            </m:r>
          </m:e>
          <m:sub>
            <m:r>
              <w:rPr>
                <w:rFonts w:ascii="Cambria Math" w:hAnsi="Cambria Math"/>
              </w:rPr>
              <m:t>m</m:t>
            </m:r>
          </m:sub>
        </m:sSub>
      </m:oMath>
      <w:r w:rsidR="00F17744">
        <w:t>)</w:t>
      </w:r>
      <w:r w:rsidR="003657DE">
        <w:t xml:space="preserve"> </w:t>
      </w:r>
      <w:r w:rsidR="003C3ABC">
        <w:t>is</w:t>
      </w:r>
      <w:r w:rsidR="00491668">
        <w:t xml:space="preserve"> determined</w:t>
      </w:r>
      <w:r w:rsidR="007B68F3">
        <w:t xml:space="preserve"> for each event type</w:t>
      </w:r>
      <w:r w:rsidR="00092D1D">
        <w:t xml:space="preserve"> by</w:t>
      </w:r>
      <w:r w:rsidR="00DB3BE0">
        <w:t xml:space="preserve"> </w:t>
      </w:r>
      <w:r w:rsidR="00491668">
        <w:t>constructing a composite of</w:t>
      </w:r>
      <w:r w:rsidR="003657DE">
        <w:t xml:space="preserve"> the</w:t>
      </w:r>
      <w:r w:rsidR="00491668">
        <w:t xml:space="preserve"> climatological mean geopotential</w:t>
      </w:r>
      <w:r w:rsidR="00576205">
        <w:t xml:space="preserve"> (</w:t>
      </w:r>
      <m:oMath>
        <m:sSub>
          <m:sSubPr>
            <m:ctrlPr>
              <w:rPr>
                <w:rFonts w:ascii="Cambria Math" w:hAnsi="Cambria Math"/>
                <w:i/>
              </w:rPr>
            </m:ctrlPr>
          </m:sSubPr>
          <m:e>
            <m:r>
              <m:rPr>
                <m:sty m:val="p"/>
              </m:rPr>
              <w:rPr>
                <w:rFonts w:ascii="Cambria Math" w:hAnsi="Cambria Math"/>
              </w:rPr>
              <m:t>Φ</m:t>
            </m:r>
          </m:e>
          <m:sub>
            <m:r>
              <w:rPr>
                <w:rFonts w:ascii="Cambria Math" w:hAnsi="Cambria Math"/>
              </w:rPr>
              <m:t>m</m:t>
            </m:r>
          </m:sub>
        </m:sSub>
      </m:oMath>
      <w:r w:rsidR="00576205">
        <w:t>)</w:t>
      </w:r>
      <w:r w:rsidR="007771FB">
        <w:t xml:space="preserve"> </w:t>
      </w:r>
      <w:r w:rsidR="00491668">
        <w:t>on all calendar days for which a jet superposition was observed</w:t>
      </w:r>
      <w:r w:rsidR="007B68F3">
        <w:t xml:space="preserve"> for that event type</w:t>
      </w:r>
      <w:r w:rsidR="00491668">
        <w:t>. The</w:t>
      </w:r>
      <w:r w:rsidR="00576205">
        <w:t xml:space="preserve"> difference between the</w:t>
      </w:r>
      <w:r w:rsidR="00491668">
        <w:t xml:space="preserve"> composite</w:t>
      </w:r>
      <w:r w:rsidR="0076203C">
        <w:t xml:space="preserve"> climatological</w:t>
      </w:r>
      <w:r w:rsidR="00491668">
        <w:t xml:space="preserve"> mean </w:t>
      </w:r>
      <w:r w:rsidR="00DB3BE0">
        <w:t>geopotential</w:t>
      </w:r>
      <w:r w:rsidR="00576205">
        <w:t xml:space="preserve"> and the</w:t>
      </w:r>
      <w:r w:rsidR="00016A49">
        <w:t xml:space="preserve"> reference</w:t>
      </w:r>
      <w:r w:rsidR="00576205">
        <w:t xml:space="preserve"> </w:t>
      </w:r>
      <w:r w:rsidR="00FE14D7">
        <w:t xml:space="preserve">geopotential </w:t>
      </w:r>
      <w:r w:rsidR="00DB3BE0">
        <w:t>(</w:t>
      </w:r>
      <m:oMath>
        <m:sSub>
          <m:sSubPr>
            <m:ctrlPr>
              <w:rPr>
                <w:rFonts w:ascii="Cambria Math" w:hAnsi="Cambria Math"/>
                <w:i/>
              </w:rPr>
            </m:ctrlPr>
          </m:sSubPr>
          <m:e>
            <m:r>
              <w:rPr>
                <w:rFonts w:ascii="Cambria Math" w:hAnsi="Cambria Math"/>
              </w:rPr>
              <m:t>ϕ</m:t>
            </m:r>
          </m:e>
          <m:sub>
            <m:r>
              <w:rPr>
                <w:rFonts w:ascii="Cambria Math" w:hAnsi="Cambria Math"/>
              </w:rPr>
              <m:t>m</m:t>
            </m:r>
          </m:sub>
        </m:sSub>
        <m:r>
          <w:rPr>
            <w:rFonts w:ascii="Cambria Math" w:hAnsi="Cambria Math"/>
          </w:rPr>
          <m:t>=</m:t>
        </m:r>
        <m:sSub>
          <m:sSubPr>
            <m:ctrlPr>
              <w:rPr>
                <w:rFonts w:ascii="Cambria Math" w:hAnsi="Cambria Math"/>
                <w:i/>
              </w:rPr>
            </m:ctrlPr>
          </m:sSubPr>
          <m:e>
            <m:r>
              <m:rPr>
                <m:sty m:val="p"/>
              </m:rPr>
              <w:rPr>
                <w:rFonts w:ascii="Cambria Math" w:hAnsi="Cambria Math"/>
              </w:rPr>
              <m:t>Φ</m:t>
            </m:r>
          </m:e>
          <m:sub>
            <m:r>
              <w:rPr>
                <w:rFonts w:ascii="Cambria Math" w:hAnsi="Cambria Math"/>
              </w:rPr>
              <m:t>m</m:t>
            </m:r>
          </m:sub>
        </m:sSub>
        <m:r>
          <w:rPr>
            <w:rFonts w:ascii="Cambria Math" w:hAnsi="Cambria Math"/>
          </w:rPr>
          <m:t>-</m:t>
        </m:r>
        <m:sSub>
          <m:sSubPr>
            <m:ctrlPr>
              <w:rPr>
                <w:rFonts w:ascii="Cambria Math" w:hAnsi="Cambria Math"/>
                <w:i/>
              </w:rPr>
            </m:ctrlPr>
          </m:sSubPr>
          <m:e>
            <m:r>
              <m:rPr>
                <m:sty m:val="p"/>
              </m:rPr>
              <w:rPr>
                <w:rFonts w:ascii="Cambria Math" w:hAnsi="Cambria Math"/>
              </w:rPr>
              <m:t>Φ</m:t>
            </m:r>
          </m:e>
          <m:sub>
            <m:r>
              <w:rPr>
                <w:rFonts w:ascii="Cambria Math" w:hAnsi="Cambria Math"/>
              </w:rPr>
              <m:t>r</m:t>
            </m:r>
          </m:sub>
        </m:sSub>
        <m:r>
          <w:rPr>
            <w:rFonts w:ascii="Cambria Math" w:hAnsi="Cambria Math"/>
          </w:rPr>
          <m:t xml:space="preserve">) </m:t>
        </m:r>
      </m:oMath>
      <w:r w:rsidR="00491668">
        <w:t>is</w:t>
      </w:r>
      <w:r w:rsidR="00B803E7">
        <w:t xml:space="preserve"> </w:t>
      </w:r>
      <w:r w:rsidR="00491668">
        <w:t xml:space="preserve">substituted into (1) to </w:t>
      </w:r>
      <w:r w:rsidR="00ED2711">
        <w:t>calculate</w:t>
      </w:r>
      <w:r w:rsidR="00491668">
        <w:t xml:space="preserve"> </w:t>
      </w:r>
      <m:oMath>
        <m:sSub>
          <m:sSubPr>
            <m:ctrlPr>
              <w:rPr>
                <w:rFonts w:ascii="Cambria Math" w:hAnsi="Cambria Math"/>
                <w:i/>
              </w:rPr>
            </m:ctrlPr>
          </m:sSubPr>
          <m:e>
            <m:r>
              <w:rPr>
                <w:rFonts w:ascii="Cambria Math" w:hAnsi="Cambria Math"/>
              </w:rPr>
              <m:t>q</m:t>
            </m:r>
          </m:e>
          <m:sub>
            <m:r>
              <w:rPr>
                <w:rFonts w:ascii="Cambria Math" w:hAnsi="Cambria Math"/>
              </w:rPr>
              <m:t>m</m:t>
            </m:r>
          </m:sub>
        </m:sSub>
      </m:oMath>
      <w:r w:rsidR="00F17744">
        <w:t xml:space="preserve"> for</w:t>
      </w:r>
      <w:r w:rsidR="00491668">
        <w:t xml:space="preserve"> each event type</w:t>
      </w:r>
      <w:r w:rsidR="000D7212">
        <w:t xml:space="preserve"> as</w:t>
      </w:r>
      <w:r w:rsidR="001F1AD1">
        <w:t>:</w:t>
      </w:r>
    </w:p>
    <w:p w14:paraId="7A9BB503" w14:textId="3C5E6D3F" w:rsidR="000D7212" w:rsidRDefault="000D7212" w:rsidP="005B24BF">
      <w:pPr>
        <w:widowControl w:val="0"/>
        <w:spacing w:line="480" w:lineRule="auto"/>
      </w:pPr>
      <w:r w:rsidRPr="00717033">
        <w:t xml:space="preserve">                                                 </w:t>
      </w:r>
      <m:oMath>
        <m:sSub>
          <m:sSubPr>
            <m:ctrlPr>
              <w:rPr>
                <w:rFonts w:ascii="Cambria Math" w:hAnsi="Cambria Math"/>
                <w:i/>
              </w:rPr>
            </m:ctrlPr>
          </m:sSubPr>
          <m:e>
            <m:r>
              <w:rPr>
                <w:rFonts w:ascii="Cambria Math" w:hAnsi="Cambria Math"/>
              </w:rPr>
              <m:t>q</m:t>
            </m:r>
          </m:e>
          <m:sub>
            <m:r>
              <w:rPr>
                <w:rFonts w:ascii="Cambria Math" w:hAnsi="Cambria Math"/>
              </w:rPr>
              <m:t>m</m:t>
            </m:r>
          </m:sub>
        </m:sSub>
        <m:r>
          <w:rPr>
            <w:rFonts w:ascii="Cambria Math" w:hAnsi="Cambria Math"/>
          </w:rPr>
          <m:t xml:space="preserve">=f+ </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f</m:t>
                </m:r>
              </m:e>
              <m:sub>
                <m:r>
                  <w:rPr>
                    <w:rFonts w:ascii="Cambria Math" w:hAnsi="Cambria Math"/>
                  </w:rPr>
                  <m:t>o</m:t>
                </m:r>
              </m:sub>
            </m:sSub>
          </m:den>
        </m:f>
        <m:sSup>
          <m:sSupPr>
            <m:ctrlPr>
              <w:rPr>
                <w:rFonts w:ascii="Cambria Math" w:hAnsi="Cambria Math"/>
                <w:i/>
              </w:rPr>
            </m:ctrlPr>
          </m:sSupPr>
          <m:e>
            <m:r>
              <w:rPr>
                <w:rFonts w:ascii="Cambria Math" w:hAnsi="Cambria Math"/>
              </w:rPr>
              <m:t>∇</m:t>
            </m:r>
          </m:e>
          <m:sup>
            <m:r>
              <w:rPr>
                <w:rFonts w:ascii="Cambria Math" w:hAnsi="Cambria Math"/>
              </w:rPr>
              <m:t>2</m:t>
            </m:r>
          </m:sup>
        </m:sSup>
        <m:sSub>
          <m:sSubPr>
            <m:ctrlPr>
              <w:rPr>
                <w:rFonts w:ascii="Cambria Math" w:hAnsi="Cambria Math"/>
                <w:i/>
              </w:rPr>
            </m:ctrlPr>
          </m:sSubPr>
          <m:e>
            <m:r>
              <w:rPr>
                <w:rFonts w:ascii="Cambria Math" w:hAnsi="Cambria Math"/>
              </w:rPr>
              <m:t>ϕ</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o</m:t>
            </m:r>
          </m:sub>
        </m:sSub>
        <m:f>
          <m:fPr>
            <m:ctrlPr>
              <w:rPr>
                <w:rFonts w:ascii="Cambria Math" w:hAnsi="Cambria Math"/>
                <w:i/>
              </w:rPr>
            </m:ctrlPr>
          </m:fPr>
          <m:num>
            <m:r>
              <w:rPr>
                <w:rFonts w:ascii="Cambria Math" w:hAnsi="Cambria Math"/>
              </w:rPr>
              <m:t>∂</m:t>
            </m:r>
          </m:num>
          <m:den>
            <m:r>
              <w:rPr>
                <w:rFonts w:ascii="Cambria Math" w:hAnsi="Cambria Math"/>
              </w:rPr>
              <m:t>∂p</m:t>
            </m:r>
          </m:den>
        </m:f>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σ</m:t>
                    </m:r>
                  </m:e>
                  <m:sub>
                    <m:r>
                      <w:rPr>
                        <w:rFonts w:ascii="Cambria Math" w:hAnsi="Cambria Math"/>
                      </w:rPr>
                      <m:t>r</m:t>
                    </m:r>
                  </m:sub>
                </m:sSub>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m</m:t>
                    </m:r>
                  </m:sub>
                </m:sSub>
              </m:num>
              <m:den>
                <m:r>
                  <w:rPr>
                    <w:rFonts w:ascii="Cambria Math" w:hAnsi="Cambria Math"/>
                  </w:rPr>
                  <m:t>∂p</m:t>
                </m:r>
              </m:den>
            </m:f>
          </m:e>
        </m:d>
      </m:oMath>
      <w:r w:rsidR="001F1AD1">
        <w:rPr>
          <w:i/>
        </w:rPr>
        <w:t>.</w:t>
      </w:r>
      <w:r>
        <w:t xml:space="preserve">              </w:t>
      </w:r>
      <w:r w:rsidR="00E74428">
        <w:t xml:space="preserve">                  (2)</w:t>
      </w:r>
      <w:r>
        <w:t xml:space="preserve">                                </w:t>
      </w:r>
    </w:p>
    <w:p w14:paraId="5A207F64" w14:textId="5B7C60A6" w:rsidR="00970467" w:rsidRDefault="00FF4527" w:rsidP="00210E4B">
      <w:pPr>
        <w:widowControl w:val="0"/>
        <w:spacing w:line="480" w:lineRule="auto"/>
      </w:pPr>
      <w:r>
        <w:tab/>
      </w:r>
      <w:r w:rsidR="00491668">
        <w:t>The perturbation QGPV</w:t>
      </w:r>
      <w:r w:rsidR="00811AEB">
        <w:t xml:space="preserve"> (</w:t>
      </w:r>
      <m:oMath>
        <m:r>
          <w:rPr>
            <w:rFonts w:ascii="Cambria Math" w:hAnsi="Cambria Math"/>
          </w:rPr>
          <m:t>q'</m:t>
        </m:r>
      </m:oMath>
      <w:r w:rsidR="00811AEB">
        <w:t>)</w:t>
      </w:r>
      <w:r w:rsidR="00C74A37">
        <w:t xml:space="preserve"> </w:t>
      </w:r>
      <w:r w:rsidR="007D069F">
        <w:t>for each event type</w:t>
      </w:r>
      <w:r w:rsidR="00491668">
        <w:t xml:space="preserve"> is</w:t>
      </w:r>
      <w:r w:rsidR="007D069F">
        <w:t xml:space="preserve"> calculated as</w:t>
      </w:r>
      <w:r w:rsidR="00491668">
        <w:t xml:space="preserve"> the difference between </w:t>
      </w:r>
      <m:oMath>
        <m:r>
          <w:rPr>
            <w:rFonts w:ascii="Cambria Math" w:hAnsi="Cambria Math"/>
          </w:rPr>
          <m:t>q</m:t>
        </m:r>
      </m:oMath>
      <w:r w:rsidR="007775B3">
        <w:t xml:space="preserve"> and </w:t>
      </w:r>
      <m:oMath>
        <m:sSub>
          <m:sSubPr>
            <m:ctrlPr>
              <w:rPr>
                <w:rFonts w:ascii="Cambria Math" w:hAnsi="Cambria Math"/>
                <w:i/>
              </w:rPr>
            </m:ctrlPr>
          </m:sSubPr>
          <m:e>
            <m:r>
              <w:rPr>
                <w:rFonts w:ascii="Cambria Math" w:hAnsi="Cambria Math"/>
              </w:rPr>
              <m:t>q</m:t>
            </m:r>
          </m:e>
          <m:sub>
            <m:r>
              <w:rPr>
                <w:rFonts w:ascii="Cambria Math" w:hAnsi="Cambria Math"/>
              </w:rPr>
              <m:t>m</m:t>
            </m:r>
          </m:sub>
        </m:sSub>
      </m:oMath>
      <w:r w:rsidR="00491668">
        <w:t xml:space="preserve">, and is partitioned into four </w:t>
      </w:r>
      <w:r w:rsidR="00B01EE9">
        <w:t>categories</w:t>
      </w:r>
      <w:r w:rsidR="00491668">
        <w:t xml:space="preserve">: (1) </w:t>
      </w:r>
      <w:r w:rsidR="00B36474">
        <w:t>p</w:t>
      </w:r>
      <w:r w:rsidR="00491668">
        <w:t xml:space="preserve">olar cyclonic QGPV anomalies, (2) </w:t>
      </w:r>
      <w:r w:rsidR="00B36474">
        <w:t>t</w:t>
      </w:r>
      <w:r w:rsidR="00491668">
        <w:t xml:space="preserve">ropical anticyclonic QGPV anomalies, (3) </w:t>
      </w:r>
      <w:r w:rsidR="00B36474">
        <w:t>r</w:t>
      </w:r>
      <w:r w:rsidR="00491668">
        <w:t>esidual QGPV anomalies</w:t>
      </w:r>
      <w:r w:rsidR="008B39AD">
        <w:t xml:space="preserve">, </w:t>
      </w:r>
      <w:r w:rsidR="00491668">
        <w:t xml:space="preserve">and (4) </w:t>
      </w:r>
      <w:r w:rsidR="00B36474">
        <w:t>l</w:t>
      </w:r>
      <w:r w:rsidR="00491668">
        <w:t>ower-tropospheric QGPV anomalies</w:t>
      </w:r>
      <w:r w:rsidR="008B39AD">
        <w:t xml:space="preserve">. </w:t>
      </w:r>
      <w:r w:rsidR="00491668">
        <w:t xml:space="preserve">Polar cyclonic </w:t>
      </w:r>
      <w:r w:rsidR="00BB79F9">
        <w:t>QG</w:t>
      </w:r>
      <w:r w:rsidR="00491668">
        <w:t>PV anomalies</w:t>
      </w:r>
      <w:r w:rsidR="008B39AD">
        <w:t xml:space="preserve"> (</w:t>
      </w:r>
      <m:oMath>
        <m:sSub>
          <m:sSubPr>
            <m:ctrlPr>
              <w:rPr>
                <w:rFonts w:ascii="Cambria Math" w:hAnsi="Cambria Math"/>
                <w:i/>
              </w:rPr>
            </m:ctrlPr>
          </m:sSubPr>
          <m:e>
            <m:r>
              <w:rPr>
                <w:rFonts w:ascii="Cambria Math" w:hAnsi="Cambria Math"/>
              </w:rPr>
              <m:t>q</m:t>
            </m:r>
          </m:e>
          <m:sub>
            <m:r>
              <w:rPr>
                <w:rFonts w:ascii="Cambria Math" w:hAnsi="Cambria Math"/>
              </w:rPr>
              <m:t>cyc</m:t>
            </m:r>
          </m:sub>
        </m:sSub>
      </m:oMath>
      <w:r w:rsidR="008B39AD">
        <w:t>)</w:t>
      </w:r>
      <w:r w:rsidR="00491668">
        <w:t xml:space="preserve"> are </w:t>
      </w:r>
      <w:r w:rsidR="0073298B">
        <w:t>defined</w:t>
      </w:r>
      <w:r w:rsidR="00491668">
        <w:t xml:space="preserve"> as QGPV anomalies </w:t>
      </w:r>
      <w:r w:rsidR="00F77AC2">
        <w:t>in</w:t>
      </w:r>
      <w:r w:rsidR="00491668">
        <w:t xml:space="preserve"> the near-jet environment</w:t>
      </w:r>
      <w:r w:rsidR="00F12838">
        <w:t xml:space="preserve"> (specified in the Table 1 caption)</w:t>
      </w:r>
      <w:r w:rsidR="00B074BA">
        <w:t xml:space="preserve"> </w:t>
      </w:r>
      <w:r w:rsidR="00F77AC2">
        <w:t>within the</w:t>
      </w:r>
      <w:r w:rsidR="00491668">
        <w:t xml:space="preserve"> 700–150-hPa</w:t>
      </w:r>
      <w:r w:rsidR="00F77AC2">
        <w:t xml:space="preserve"> layer</w:t>
      </w:r>
      <w:r w:rsidR="00491668">
        <w:t xml:space="preserve"> with a value </w:t>
      </w:r>
      <m:oMath>
        <m:r>
          <w:rPr>
            <w:rFonts w:ascii="Cambria Math" w:hAnsi="Cambria Math"/>
          </w:rPr>
          <m:t>≥</m:t>
        </m:r>
      </m:oMath>
      <w:r w:rsidR="00491668">
        <w:t xml:space="preserve"> 4</w:t>
      </w:r>
      <w:r w:rsidR="00B36474">
        <w:t xml:space="preserve"> </w:t>
      </w:r>
      <m:oMath>
        <m:r>
          <w:rPr>
            <w:rFonts w:ascii="Cambria Math" w:hAnsi="Cambria Math"/>
          </w:rPr>
          <m:t>×</m:t>
        </m:r>
      </m:oMath>
      <w:r w:rsidR="00B36474">
        <w:t xml:space="preserve"> </w:t>
      </w:r>
      <w:r w:rsidR="00491668">
        <w:t>10</w:t>
      </w:r>
      <w:r w:rsidR="00491668">
        <w:rPr>
          <w:vertAlign w:val="superscript"/>
        </w:rPr>
        <w:t>–5</w:t>
      </w:r>
      <w:r w:rsidR="00491668">
        <w:t xml:space="preserve"> s</w:t>
      </w:r>
      <w:r w:rsidR="00491668">
        <w:rPr>
          <w:vertAlign w:val="superscript"/>
        </w:rPr>
        <w:t>–1</w:t>
      </w:r>
      <w:r w:rsidR="00491668">
        <w:t xml:space="preserve">. Tropical anticyclonic </w:t>
      </w:r>
      <w:r w:rsidR="00BB79F9">
        <w:t>QG</w:t>
      </w:r>
      <w:r w:rsidR="00491668">
        <w:t>PV anomalies</w:t>
      </w:r>
      <w:r w:rsidR="008B39AD">
        <w:t xml:space="preserve"> (</w:t>
      </w:r>
      <m:oMath>
        <m:sSub>
          <m:sSubPr>
            <m:ctrlPr>
              <w:rPr>
                <w:rFonts w:ascii="Cambria Math" w:hAnsi="Cambria Math"/>
                <w:i/>
              </w:rPr>
            </m:ctrlPr>
          </m:sSubPr>
          <m:e>
            <m:r>
              <w:rPr>
                <w:rFonts w:ascii="Cambria Math" w:hAnsi="Cambria Math"/>
              </w:rPr>
              <m:t>q</m:t>
            </m:r>
          </m:e>
          <m:sub>
            <m:r>
              <w:rPr>
                <w:rFonts w:ascii="Cambria Math" w:hAnsi="Cambria Math"/>
              </w:rPr>
              <m:t>ant</m:t>
            </m:r>
          </m:sub>
        </m:sSub>
      </m:oMath>
      <w:r w:rsidR="008B39AD">
        <w:t>)</w:t>
      </w:r>
      <w:r w:rsidR="00491668">
        <w:t xml:space="preserve"> are defined as QGPV anomalies </w:t>
      </w:r>
      <w:r w:rsidR="00F77AC2">
        <w:t>in</w:t>
      </w:r>
      <w:r w:rsidR="00491668">
        <w:t xml:space="preserve"> the near-jet environment </w:t>
      </w:r>
      <w:r w:rsidR="00F77AC2">
        <w:t>within the</w:t>
      </w:r>
      <w:r w:rsidR="00491668">
        <w:t xml:space="preserve"> 700–150-hPa</w:t>
      </w:r>
      <w:r w:rsidR="00F77AC2">
        <w:t xml:space="preserve"> layer</w:t>
      </w:r>
      <w:r w:rsidR="00491668">
        <w:t xml:space="preserve"> with a value </w:t>
      </w:r>
      <m:oMath>
        <m:r>
          <w:rPr>
            <w:rFonts w:ascii="Cambria Math" w:hAnsi="Cambria Math"/>
          </w:rPr>
          <m:t>≤</m:t>
        </m:r>
      </m:oMath>
      <w:r w:rsidR="00491668">
        <w:t xml:space="preserve"> –4</w:t>
      </w:r>
      <w:r w:rsidR="00B36474">
        <w:t xml:space="preserve"> </w:t>
      </w:r>
      <m:oMath>
        <m:r>
          <w:rPr>
            <w:rFonts w:ascii="Cambria Math" w:hAnsi="Cambria Math"/>
          </w:rPr>
          <m:t>×</m:t>
        </m:r>
      </m:oMath>
      <w:r w:rsidR="00B36474">
        <w:t xml:space="preserve"> </w:t>
      </w:r>
      <w:r w:rsidR="00491668">
        <w:t>10</w:t>
      </w:r>
      <w:r w:rsidR="00491668">
        <w:rPr>
          <w:vertAlign w:val="superscript"/>
        </w:rPr>
        <w:t>–5</w:t>
      </w:r>
      <w:r w:rsidR="00491668">
        <w:t xml:space="preserve"> s</w:t>
      </w:r>
      <w:r w:rsidR="00491668">
        <w:rPr>
          <w:vertAlign w:val="superscript"/>
        </w:rPr>
        <w:t>–1</w:t>
      </w:r>
      <w:r w:rsidR="00491668">
        <w:t>. Residual QGPV anomalies</w:t>
      </w:r>
      <w:r w:rsidR="008B39AD">
        <w:t xml:space="preserve"> (</w:t>
      </w:r>
      <m:oMath>
        <m:sSub>
          <m:sSubPr>
            <m:ctrlPr>
              <w:rPr>
                <w:rFonts w:ascii="Cambria Math" w:hAnsi="Cambria Math"/>
                <w:i/>
              </w:rPr>
            </m:ctrlPr>
          </m:sSubPr>
          <m:e>
            <m:r>
              <w:rPr>
                <w:rFonts w:ascii="Cambria Math" w:hAnsi="Cambria Math"/>
              </w:rPr>
              <m:t>q</m:t>
            </m:r>
          </m:e>
          <m:sub>
            <m:r>
              <w:rPr>
                <w:rFonts w:ascii="Cambria Math" w:hAnsi="Cambria Math"/>
              </w:rPr>
              <m:t>res</m:t>
            </m:r>
          </m:sub>
        </m:sSub>
      </m:oMath>
      <w:r w:rsidR="008B39AD">
        <w:t>)</w:t>
      </w:r>
      <w:r w:rsidR="00491668">
        <w:t xml:space="preserve"> are defined as all QGPV anomalies </w:t>
      </w:r>
      <w:r w:rsidR="00F77AC2">
        <w:t>in the</w:t>
      </w:r>
      <w:r w:rsidR="00491668">
        <w:t xml:space="preserve"> 700–50-hPa</w:t>
      </w:r>
      <w:r w:rsidR="00F77AC2">
        <w:t xml:space="preserve"> layer</w:t>
      </w:r>
      <w:r w:rsidR="00491668">
        <w:t xml:space="preserve">, excluding </w:t>
      </w:r>
      <m:oMath>
        <m:sSub>
          <m:sSubPr>
            <m:ctrlPr>
              <w:rPr>
                <w:rFonts w:ascii="Cambria Math" w:hAnsi="Cambria Math"/>
                <w:i/>
              </w:rPr>
            </m:ctrlPr>
          </m:sSubPr>
          <m:e>
            <m:r>
              <w:rPr>
                <w:rFonts w:ascii="Cambria Math" w:hAnsi="Cambria Math"/>
              </w:rPr>
              <m:t>q</m:t>
            </m:r>
          </m:e>
          <m:sub>
            <m:r>
              <w:rPr>
                <w:rFonts w:ascii="Cambria Math" w:hAnsi="Cambria Math"/>
              </w:rPr>
              <m:t>cyc</m:t>
            </m:r>
          </m:sub>
        </m:sSub>
      </m:oMath>
      <w:r w:rsidR="00491668">
        <w:t xml:space="preserve"> and </w:t>
      </w:r>
      <m:oMath>
        <m:sSub>
          <m:sSubPr>
            <m:ctrlPr>
              <w:rPr>
                <w:rFonts w:ascii="Cambria Math" w:hAnsi="Cambria Math"/>
                <w:i/>
              </w:rPr>
            </m:ctrlPr>
          </m:sSubPr>
          <m:e>
            <m:r>
              <w:rPr>
                <w:rFonts w:ascii="Cambria Math" w:hAnsi="Cambria Math"/>
              </w:rPr>
              <m:t>q</m:t>
            </m:r>
          </m:e>
          <m:sub>
            <m:r>
              <w:rPr>
                <w:rFonts w:ascii="Cambria Math" w:hAnsi="Cambria Math"/>
              </w:rPr>
              <m:t>ant</m:t>
            </m:r>
          </m:sub>
        </m:sSub>
      </m:oMath>
      <w:r w:rsidR="00491668">
        <w:t xml:space="preserve">. </w:t>
      </w:r>
      <w:r w:rsidR="003A14AC">
        <w:t xml:space="preserve">Physically, </w:t>
      </w:r>
      <m:oMath>
        <m:sSub>
          <m:sSubPr>
            <m:ctrlPr>
              <w:rPr>
                <w:rFonts w:ascii="Cambria Math" w:hAnsi="Cambria Math"/>
                <w:i/>
              </w:rPr>
            </m:ctrlPr>
          </m:sSubPr>
          <m:e>
            <m:r>
              <w:rPr>
                <w:rFonts w:ascii="Cambria Math" w:hAnsi="Cambria Math"/>
              </w:rPr>
              <m:t>q</m:t>
            </m:r>
          </m:e>
          <m:sub>
            <m:r>
              <w:rPr>
                <w:rFonts w:ascii="Cambria Math" w:hAnsi="Cambria Math"/>
              </w:rPr>
              <m:t>res</m:t>
            </m:r>
          </m:sub>
        </m:sSub>
      </m:oMath>
      <w:r w:rsidR="00F77AC2">
        <w:t xml:space="preserve"> </w:t>
      </w:r>
      <w:r w:rsidR="00B000DB">
        <w:t>describes</w:t>
      </w:r>
      <w:r w:rsidR="004034E3">
        <w:t xml:space="preserve"> the</w:t>
      </w:r>
      <w:r w:rsidR="0059221D">
        <w:t xml:space="preserve"> background</w:t>
      </w:r>
      <w:r w:rsidR="004034E3">
        <w:t xml:space="preserve"> upper-tropospheric</w:t>
      </w:r>
      <w:r w:rsidR="00F12838">
        <w:t xml:space="preserve"> </w:t>
      </w:r>
      <w:r w:rsidR="00491668">
        <w:t>flow pattern within which the polar and subtropical jets superpose</w:t>
      </w:r>
      <w:r w:rsidR="00ED2711">
        <w:t>,</w:t>
      </w:r>
      <w:r w:rsidR="00F77AC2">
        <w:t xml:space="preserve"> and </w:t>
      </w:r>
      <w:r w:rsidR="002E2F0F">
        <w:t>include</w:t>
      </w:r>
      <w:r w:rsidR="003C7481">
        <w:t>s</w:t>
      </w:r>
      <w:r w:rsidR="002E2F0F">
        <w:t xml:space="preserve"> the influence of</w:t>
      </w:r>
      <w:r w:rsidR="003C7481">
        <w:t xml:space="preserve"> circulations induced by</w:t>
      </w:r>
      <w:r w:rsidR="002E2F0F">
        <w:t xml:space="preserve"> upper-tropospheric ridges</w:t>
      </w:r>
      <w:r w:rsidR="0082492D">
        <w:t xml:space="preserve"> upstream and downstream of the jet superposition</w:t>
      </w:r>
      <w:r w:rsidR="009B7FE4">
        <w:t xml:space="preserve"> (e.g., Fig. 2a)</w:t>
      </w:r>
      <w:r w:rsidR="00491668">
        <w:t>. Lower-tropospheric QGPV anomalies</w:t>
      </w:r>
      <w:r w:rsidR="008B39AD">
        <w:t xml:space="preserve"> (</w:t>
      </w:r>
      <m:oMath>
        <m:sSub>
          <m:sSubPr>
            <m:ctrlPr>
              <w:rPr>
                <w:rFonts w:ascii="Cambria Math" w:hAnsi="Cambria Math"/>
                <w:i/>
              </w:rPr>
            </m:ctrlPr>
          </m:sSubPr>
          <m:e>
            <m:r>
              <w:rPr>
                <w:rFonts w:ascii="Cambria Math" w:hAnsi="Cambria Math"/>
              </w:rPr>
              <m:t>q</m:t>
            </m:r>
          </m:e>
          <m:sub>
            <m:r>
              <w:rPr>
                <w:rFonts w:ascii="Cambria Math" w:hAnsi="Cambria Math"/>
              </w:rPr>
              <m:t>lt</m:t>
            </m:r>
          </m:sub>
        </m:sSub>
      </m:oMath>
      <w:r w:rsidR="008B39AD">
        <w:t>)</w:t>
      </w:r>
      <w:r w:rsidR="00491668">
        <w:t xml:space="preserve"> are defined as all QGPV anomalies </w:t>
      </w:r>
      <w:r w:rsidR="00F77AC2">
        <w:t>within the</w:t>
      </w:r>
      <w:r w:rsidR="00491668">
        <w:t xml:space="preserve"> 1000–750-hPa</w:t>
      </w:r>
      <w:r w:rsidR="00F77AC2">
        <w:t xml:space="preserve"> layer</w:t>
      </w:r>
      <w:r w:rsidR="00491668">
        <w:t xml:space="preserve">, and </w:t>
      </w:r>
      <w:r w:rsidR="00AE233A">
        <w:t>include</w:t>
      </w:r>
      <w:r w:rsidR="00C8411F">
        <w:t xml:space="preserve"> </w:t>
      </w:r>
      <w:r w:rsidR="00491668">
        <w:t xml:space="preserve">the circulations </w:t>
      </w:r>
      <w:r w:rsidR="00B01EE9">
        <w:t>induced by</w:t>
      </w:r>
      <w:r w:rsidR="00491668">
        <w:t xml:space="preserve"> surface cyclones and anticyclones.</w:t>
      </w:r>
      <w:r w:rsidR="00210E4B">
        <w:t xml:space="preserve"> </w:t>
      </w:r>
      <w:r w:rsidR="00491668">
        <w:t>A distribution of upper-tropospheric QGPV anomalies at the time of superposition</w:t>
      </w:r>
      <w:r w:rsidR="003C7481">
        <w:t xml:space="preserve"> for each event type</w:t>
      </w:r>
      <w:r w:rsidR="00C74A37">
        <w:t>, and</w:t>
      </w:r>
      <w:r w:rsidR="00774DD1">
        <w:t xml:space="preserve"> an</w:t>
      </w:r>
      <w:r w:rsidR="009B7FE4">
        <w:t xml:space="preserve"> illustration of</w:t>
      </w:r>
      <w:r w:rsidR="00C74A37">
        <w:t xml:space="preserve"> how those </w:t>
      </w:r>
      <w:r w:rsidR="00802CB7">
        <w:t>anomalies are</w:t>
      </w:r>
      <w:r w:rsidR="00C74A37">
        <w:t xml:space="preserve"> partitioned into the categories </w:t>
      </w:r>
      <w:r w:rsidR="003A14AC">
        <w:t>described</w:t>
      </w:r>
      <w:r w:rsidR="00C74A37">
        <w:t xml:space="preserve"> above,</w:t>
      </w:r>
      <w:r w:rsidR="00491668">
        <w:t xml:space="preserve"> </w:t>
      </w:r>
      <w:r w:rsidR="00AE233A">
        <w:t>is</w:t>
      </w:r>
      <w:r w:rsidR="00491668">
        <w:t xml:space="preserve"> </w:t>
      </w:r>
      <w:r w:rsidR="00B0591C">
        <w:t>shown</w:t>
      </w:r>
      <w:r w:rsidR="00491668">
        <w:t xml:space="preserve"> </w:t>
      </w:r>
      <w:r w:rsidR="00210E4B">
        <w:t>in Fig</w:t>
      </w:r>
      <w:r w:rsidR="00F12838">
        <w:t>s</w:t>
      </w:r>
      <w:r w:rsidR="003C7481">
        <w:t xml:space="preserve">. </w:t>
      </w:r>
      <w:r w:rsidR="00094940">
        <w:t>5</w:t>
      </w:r>
      <w:r w:rsidR="00F12838">
        <w:t>a–c</w:t>
      </w:r>
      <w:r w:rsidR="00210E4B">
        <w:t xml:space="preserve">. In particular, note that the juxtaposition of </w:t>
      </w:r>
      <m:oMath>
        <m:sSub>
          <m:sSubPr>
            <m:ctrlPr>
              <w:rPr>
                <w:rFonts w:ascii="Cambria Math" w:hAnsi="Cambria Math"/>
                <w:i/>
              </w:rPr>
            </m:ctrlPr>
          </m:sSubPr>
          <m:e>
            <m:r>
              <w:rPr>
                <w:rFonts w:ascii="Cambria Math" w:hAnsi="Cambria Math"/>
              </w:rPr>
              <m:t>q</m:t>
            </m:r>
          </m:e>
          <m:sub>
            <m:r>
              <w:rPr>
                <w:rFonts w:ascii="Cambria Math" w:hAnsi="Cambria Math"/>
              </w:rPr>
              <m:t>cyc</m:t>
            </m:r>
          </m:sub>
        </m:sSub>
      </m:oMath>
      <w:r w:rsidR="00F77AC2">
        <w:t xml:space="preserve"> and </w:t>
      </w:r>
      <m:oMath>
        <m:sSub>
          <m:sSubPr>
            <m:ctrlPr>
              <w:rPr>
                <w:rFonts w:ascii="Cambria Math" w:hAnsi="Cambria Math"/>
                <w:i/>
              </w:rPr>
            </m:ctrlPr>
          </m:sSubPr>
          <m:e>
            <m:r>
              <w:rPr>
                <w:rFonts w:ascii="Cambria Math" w:hAnsi="Cambria Math"/>
              </w:rPr>
              <m:t>q</m:t>
            </m:r>
          </m:e>
          <m:sub>
            <m:r>
              <w:rPr>
                <w:rFonts w:ascii="Cambria Math" w:hAnsi="Cambria Math"/>
              </w:rPr>
              <m:t>ant</m:t>
            </m:r>
          </m:sub>
        </m:sSub>
      </m:oMath>
      <w:r w:rsidR="00F77AC2">
        <w:t xml:space="preserve"> </w:t>
      </w:r>
      <w:r w:rsidR="00200042">
        <w:t xml:space="preserve">in Figs. </w:t>
      </w:r>
      <w:r w:rsidR="00094940">
        <w:t>5</w:t>
      </w:r>
      <w:r w:rsidR="00200042">
        <w:t>a–c</w:t>
      </w:r>
      <w:r w:rsidR="00210E4B">
        <w:t xml:space="preserve"> </w:t>
      </w:r>
      <w:r w:rsidR="00B36474">
        <w:t>resembles</w:t>
      </w:r>
      <w:r w:rsidR="00210E4B">
        <w:t xml:space="preserve"> the</w:t>
      </w:r>
      <w:r w:rsidR="00344511">
        <w:t xml:space="preserve"> juxtaposition of PV anomalies within</w:t>
      </w:r>
      <w:r w:rsidR="00B36474">
        <w:t xml:space="preserve"> the</w:t>
      </w:r>
      <w:r w:rsidR="00210E4B">
        <w:t xml:space="preserve"> conceptual model shown in Fig. 1a.</w:t>
      </w:r>
    </w:p>
    <w:p w14:paraId="762ACA11" w14:textId="45C3E130" w:rsidR="005B24BF" w:rsidRDefault="00F87A97" w:rsidP="00210E4B">
      <w:pPr>
        <w:widowControl w:val="0"/>
        <w:spacing w:line="480" w:lineRule="auto"/>
        <w:ind w:firstLine="720"/>
      </w:pPr>
      <w:r>
        <w:t>Each</w:t>
      </w:r>
      <w:r w:rsidR="00B84B59">
        <w:t xml:space="preserve"> of the four</w:t>
      </w:r>
      <w:r>
        <w:t xml:space="preserve"> </w:t>
      </w:r>
      <w:r w:rsidR="00BA6A47">
        <w:t>categor</w:t>
      </w:r>
      <w:r w:rsidR="00B84B59">
        <w:t>ies</w:t>
      </w:r>
      <w:r>
        <w:t xml:space="preserve"> of </w:t>
      </w:r>
      <w:r w:rsidR="00EB2818">
        <w:t>perturbation</w:t>
      </w:r>
      <w:r>
        <w:t xml:space="preserve"> </w:t>
      </w:r>
      <w:r w:rsidR="00546A93">
        <w:t>QG</w:t>
      </w:r>
      <w:r>
        <w:t>PV</w:t>
      </w:r>
      <w:r w:rsidR="009C15E1">
        <w:t xml:space="preserve"> (</w:t>
      </w:r>
      <m:oMath>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 xml:space="preserve">') </m:t>
        </m:r>
      </m:oMath>
      <w:r w:rsidR="00B84B59">
        <w:t>are</w:t>
      </w:r>
      <w:r>
        <w:t xml:space="preserve"> inverted</w:t>
      </w:r>
      <w:r w:rsidR="001F7C2E">
        <w:t xml:space="preserve"> using successive over-relaxation</w:t>
      </w:r>
      <w:r w:rsidR="00857C4F">
        <w:t xml:space="preserve"> using a relaxation factor of 1.8</w:t>
      </w:r>
      <w:r>
        <w:t xml:space="preserve"> to determine</w:t>
      </w:r>
      <w:r w:rsidR="00C2144C">
        <w:t xml:space="preserve"> the</w:t>
      </w:r>
      <w:r w:rsidR="009D40FC">
        <w:t xml:space="preserve"> perturbation</w:t>
      </w:r>
      <w:r w:rsidR="00C2144C">
        <w:t xml:space="preserve"> </w:t>
      </w:r>
      <w:r>
        <w:t xml:space="preserve">geopotential </w:t>
      </w:r>
      <m:oMath>
        <m:r>
          <w:rPr>
            <w:rFonts w:ascii="Cambria Math" w:hAnsi="Cambria Math"/>
          </w:rPr>
          <m:t>(</m:t>
        </m:r>
        <m:sSubSup>
          <m:sSubSupPr>
            <m:ctrlPr>
              <w:rPr>
                <w:rFonts w:ascii="Cambria Math" w:hAnsi="Cambria Math"/>
                <w:i/>
              </w:rPr>
            </m:ctrlPr>
          </m:sSubSupPr>
          <m:e>
            <m:r>
              <w:rPr>
                <w:rFonts w:ascii="Cambria Math" w:hAnsi="Cambria Math"/>
              </w:rPr>
              <m:t>ϕ</m:t>
            </m:r>
          </m:e>
          <m:sub>
            <m:r>
              <w:rPr>
                <w:rFonts w:ascii="Cambria Math" w:hAnsi="Cambria Math"/>
              </w:rPr>
              <m:t>i</m:t>
            </m:r>
          </m:sub>
          <m:sup>
            <m:r>
              <w:rPr>
                <w:rFonts w:ascii="Cambria Math" w:hAnsi="Cambria Math"/>
              </w:rPr>
              <m:t>'</m:t>
            </m:r>
          </m:sup>
        </m:sSubSup>
      </m:oMath>
      <w:r w:rsidR="00F10301">
        <w:t xml:space="preserve">) </w:t>
      </w:r>
      <w:r>
        <w:t xml:space="preserve">attributed to each </w:t>
      </w:r>
      <w:r w:rsidR="00751842">
        <w:t>category</w:t>
      </w:r>
      <w:r>
        <w:t xml:space="preserve"> of </w:t>
      </w:r>
      <w:r w:rsidR="00751842">
        <w:t>QG</w:t>
      </w:r>
      <w:r>
        <w:t>PV</w:t>
      </w:r>
      <w:r w:rsidR="00C2144C">
        <w:t xml:space="preserve"> </w:t>
      </w:r>
      <w:r w:rsidR="001F7C2E">
        <w:t>using</w:t>
      </w:r>
      <w:r w:rsidR="00C2144C">
        <w:t xml:space="preserve"> the relationship</w:t>
      </w:r>
      <w:r>
        <w:t>:</w:t>
      </w:r>
      <w:r w:rsidR="005B24BF">
        <w:t xml:space="preserve"> </w:t>
      </w:r>
    </w:p>
    <w:p w14:paraId="6BCDA5FD" w14:textId="43A485DA" w:rsidR="00F87A97" w:rsidRPr="00207B37" w:rsidRDefault="005B24BF" w:rsidP="005B24BF">
      <w:pPr>
        <w:widowControl w:val="0"/>
        <w:spacing w:line="480" w:lineRule="auto"/>
      </w:pPr>
      <m:oMath>
        <m:r>
          <w:rPr>
            <w:rFonts w:ascii="Cambria Math" w:hAnsi="Cambria Math"/>
          </w:rPr>
          <w:lastRenderedPageBreak/>
          <m:t xml:space="preserve">                                                             </m:t>
        </m:r>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 xml:space="preserve">'= </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f</m:t>
                </m:r>
              </m:e>
              <m:sub>
                <m:r>
                  <w:rPr>
                    <w:rFonts w:ascii="Cambria Math" w:hAnsi="Cambria Math"/>
                  </w:rPr>
                  <m:t>o</m:t>
                </m:r>
              </m:sub>
            </m:sSub>
          </m:den>
        </m:f>
        <m:sSup>
          <m:sSupPr>
            <m:ctrlPr>
              <w:rPr>
                <w:rFonts w:ascii="Cambria Math" w:hAnsi="Cambria Math"/>
                <w:i/>
              </w:rPr>
            </m:ctrlPr>
          </m:sSupPr>
          <m:e>
            <m:r>
              <w:rPr>
                <w:rFonts w:ascii="Cambria Math" w:hAnsi="Cambria Math"/>
              </w:rPr>
              <m:t>∇</m:t>
            </m:r>
          </m:e>
          <m:sup>
            <m:r>
              <w:rPr>
                <w:rFonts w:ascii="Cambria Math" w:hAnsi="Cambria Math"/>
              </w:rPr>
              <m:t>2</m:t>
            </m:r>
          </m:sup>
        </m:sSup>
        <m:sSubSup>
          <m:sSubSupPr>
            <m:ctrlPr>
              <w:rPr>
                <w:rFonts w:ascii="Cambria Math" w:hAnsi="Cambria Math"/>
                <w:i/>
              </w:rPr>
            </m:ctrlPr>
          </m:sSubSupPr>
          <m:e>
            <m:r>
              <w:rPr>
                <w:rFonts w:ascii="Cambria Math" w:hAnsi="Cambria Math"/>
              </w:rPr>
              <m:t>ϕ</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o</m:t>
            </m:r>
          </m:sub>
        </m:sSub>
        <m:f>
          <m:fPr>
            <m:ctrlPr>
              <w:rPr>
                <w:rFonts w:ascii="Cambria Math" w:hAnsi="Cambria Math"/>
                <w:i/>
              </w:rPr>
            </m:ctrlPr>
          </m:fPr>
          <m:num>
            <m:r>
              <w:rPr>
                <w:rFonts w:ascii="Cambria Math" w:hAnsi="Cambria Math"/>
              </w:rPr>
              <m:t>∂</m:t>
            </m:r>
          </m:num>
          <m:den>
            <m:r>
              <w:rPr>
                <w:rFonts w:ascii="Cambria Math" w:hAnsi="Cambria Math"/>
              </w:rPr>
              <m:t>∂p</m:t>
            </m:r>
          </m:den>
        </m:f>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σ</m:t>
                    </m:r>
                  </m:e>
                  <m:sub>
                    <m:r>
                      <w:rPr>
                        <w:rFonts w:ascii="Cambria Math" w:hAnsi="Cambria Math"/>
                      </w:rPr>
                      <m:t>r</m:t>
                    </m:r>
                  </m:sub>
                </m:sSub>
              </m:den>
            </m:f>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ϕ</m:t>
                    </m:r>
                  </m:e>
                  <m:sub>
                    <m:r>
                      <w:rPr>
                        <w:rFonts w:ascii="Cambria Math" w:hAnsi="Cambria Math"/>
                      </w:rPr>
                      <m:t>i</m:t>
                    </m:r>
                  </m:sub>
                  <m:sup>
                    <m:r>
                      <w:rPr>
                        <w:rFonts w:ascii="Cambria Math" w:hAnsi="Cambria Math"/>
                      </w:rPr>
                      <m:t>'</m:t>
                    </m:r>
                  </m:sup>
                </m:sSubSup>
              </m:num>
              <m:den>
                <m:r>
                  <w:rPr>
                    <w:rFonts w:ascii="Cambria Math" w:hAnsi="Cambria Math"/>
                  </w:rPr>
                  <m:t>∂p</m:t>
                </m:r>
              </m:den>
            </m:f>
          </m:e>
        </m:d>
      </m:oMath>
      <w:r w:rsidR="009C15E1">
        <w:t>.</w:t>
      </w:r>
      <w:r>
        <w:t xml:space="preserve">                                    (</w:t>
      </w:r>
      <w:r w:rsidR="000C6E0A">
        <w:t>3</w:t>
      </w:r>
      <w:r>
        <w:t>)</w:t>
      </w:r>
    </w:p>
    <w:p w14:paraId="54EB5799" w14:textId="7356A4BE" w:rsidR="00D9420D" w:rsidRDefault="00E209E3" w:rsidP="006A1AAA">
      <w:pPr>
        <w:widowControl w:val="0"/>
        <w:spacing w:line="480" w:lineRule="auto"/>
      </w:pPr>
      <w:r>
        <w:t>Motivated by</w:t>
      </w:r>
      <w:r w:rsidR="00DF3D66">
        <w:t xml:space="preserve"> the</w:t>
      </w:r>
      <w:r w:rsidR="00751842">
        <w:t xml:space="preserve"> discussion </w:t>
      </w:r>
      <w:r w:rsidR="00B36474">
        <w:t>in</w:t>
      </w:r>
      <w:r w:rsidR="00FF5BE8">
        <w:t xml:space="preserve"> Hakim et al. (1996, pp. 2182–2187), we </w:t>
      </w:r>
      <w:r w:rsidR="009C15E1">
        <w:t>adopt</w:t>
      </w:r>
      <w:r w:rsidR="00FF5BE8">
        <w:t xml:space="preserve"> homogeneous Dirichlet boundary conditions </w:t>
      </w:r>
      <w:r w:rsidR="00B36474">
        <w:t>when</w:t>
      </w:r>
      <w:r w:rsidR="00FF5BE8">
        <w:t xml:space="preserve"> inverting (</w:t>
      </w:r>
      <w:r w:rsidR="00702C97">
        <w:t>3</w:t>
      </w:r>
      <w:r w:rsidR="00FF5BE8">
        <w:t>)</w:t>
      </w:r>
      <w:r w:rsidR="00306D5D">
        <w:t xml:space="preserve"> for each </w:t>
      </w:r>
      <w:r w:rsidR="00BA6A47">
        <w:t>category</w:t>
      </w:r>
      <w:r w:rsidR="00306D5D">
        <w:t xml:space="preserve"> of the perturbation QGPV </w:t>
      </w:r>
      <w:r w:rsidR="00B21C2D">
        <w:t>within</w:t>
      </w:r>
      <w:r w:rsidR="00306D5D">
        <w:t xml:space="preserve"> the same domain used to construct the event composites</w:t>
      </w:r>
      <w:r w:rsidR="00FF5BE8">
        <w:t xml:space="preserve">. The boundary conditions </w:t>
      </w:r>
      <w:r w:rsidR="00802CB7">
        <w:t>used</w:t>
      </w:r>
      <w:r w:rsidR="00FF5BE8">
        <w:t xml:space="preserve"> </w:t>
      </w:r>
      <w:r w:rsidR="00C232AA">
        <w:t xml:space="preserve">to invert each </w:t>
      </w:r>
      <w:r w:rsidR="00BA6A47">
        <w:t>category</w:t>
      </w:r>
      <w:r w:rsidR="00C232AA">
        <w:t xml:space="preserve"> of the perturbation QGPV distribution</w:t>
      </w:r>
      <w:r w:rsidR="00FF5BE8">
        <w:t xml:space="preserve"> are listed in the </w:t>
      </w:r>
      <w:r w:rsidR="00DF3D66">
        <w:t>right</w:t>
      </w:r>
      <w:r w:rsidR="009D40FC">
        <w:t>most</w:t>
      </w:r>
      <w:r w:rsidR="00DF3D66">
        <w:t xml:space="preserve"> </w:t>
      </w:r>
      <w:r w:rsidR="00FF5BE8">
        <w:t>column of Table 1.</w:t>
      </w:r>
      <w:r w:rsidR="00B06585">
        <w:t xml:space="preserve"> </w:t>
      </w:r>
      <w:r w:rsidR="00751842">
        <w:t>T</w:t>
      </w:r>
      <w:r w:rsidR="00B06585">
        <w:t>he</w:t>
      </w:r>
      <w:r w:rsidR="00B21C2D">
        <w:t xml:space="preserve"> boundary conditions and</w:t>
      </w:r>
      <w:r w:rsidR="00B06585">
        <w:t xml:space="preserve"> linear </w:t>
      </w:r>
      <w:r w:rsidR="00751842">
        <w:t>differential operator in</w:t>
      </w:r>
      <w:r w:rsidR="00B06585">
        <w:t xml:space="preserve"> (1)</w:t>
      </w:r>
      <w:r w:rsidR="000C6E0A">
        <w:t xml:space="preserve">, </w:t>
      </w:r>
      <w:r w:rsidR="00751842">
        <w:t>(2)</w:t>
      </w:r>
      <w:r w:rsidR="000C6E0A">
        <w:t>, and (3)</w:t>
      </w:r>
      <w:r w:rsidR="008C300C">
        <w:t xml:space="preserve"> </w:t>
      </w:r>
      <w:r w:rsidR="004556B6">
        <w:t>ensure</w:t>
      </w:r>
      <w:r w:rsidR="00751842">
        <w:t xml:space="preserve"> that</w:t>
      </w:r>
      <w:r w:rsidR="00B06585">
        <w:t xml:space="preserve"> </w:t>
      </w:r>
      <m:oMath>
        <m:r>
          <w:rPr>
            <w:rFonts w:ascii="Cambria Math" w:hAnsi="Cambria Math"/>
          </w:rPr>
          <m:t xml:space="preserve">ϕ= </m:t>
        </m:r>
        <m:sSub>
          <m:sSubPr>
            <m:ctrlPr>
              <w:rPr>
                <w:rFonts w:ascii="Cambria Math" w:hAnsi="Cambria Math"/>
                <w:i/>
              </w:rPr>
            </m:ctrlPr>
          </m:sSubPr>
          <m:e>
            <m:r>
              <w:rPr>
                <w:rFonts w:ascii="Cambria Math" w:hAnsi="Cambria Math"/>
              </w:rPr>
              <m:t>ϕ</m:t>
            </m:r>
          </m:e>
          <m:sub>
            <m:r>
              <w:rPr>
                <w:rFonts w:ascii="Cambria Math" w:hAnsi="Cambria Math"/>
              </w:rPr>
              <m:t>m</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ϕ</m:t>
                </m:r>
              </m:e>
              <m:sub>
                <m:r>
                  <w:rPr>
                    <w:rFonts w:ascii="Cambria Math" w:hAnsi="Cambria Math"/>
                  </w:rPr>
                  <m:t>i</m:t>
                </m:r>
              </m:sub>
              <m:sup>
                <m:r>
                  <w:rPr>
                    <w:rFonts w:ascii="Cambria Math" w:hAnsi="Cambria Math"/>
                  </w:rPr>
                  <m:t>'</m:t>
                </m:r>
              </m:sup>
            </m:sSubSup>
          </m:e>
        </m:nary>
      </m:oMath>
      <w:r w:rsidR="00702C97">
        <w:t>.</w:t>
      </w:r>
    </w:p>
    <w:p w14:paraId="53212E9A" w14:textId="2D0236A4" w:rsidR="004672C9" w:rsidRDefault="00015F9B" w:rsidP="004672C9">
      <w:pPr>
        <w:widowControl w:val="0"/>
        <w:spacing w:line="480" w:lineRule="auto"/>
      </w:pPr>
      <w:r>
        <w:tab/>
      </w:r>
      <w:r w:rsidR="000C1177">
        <w:t xml:space="preserve">Under adiabatic and frictionless conditions, the </w:t>
      </w:r>
      <w:r w:rsidR="000C1177" w:rsidRPr="001F0F6C">
        <w:rPr>
          <w:b/>
          <w:i/>
        </w:rPr>
        <w:t>Q</w:t>
      </w:r>
      <w:r w:rsidR="000C1177">
        <w:t xml:space="preserve"> vector </w:t>
      </w:r>
      <w:r w:rsidR="00D603E3">
        <w:t>is defined as</w:t>
      </w:r>
      <w:r w:rsidR="000C1177">
        <w:t xml:space="preserve"> the temporal rate of change of the horizontal temperature gradient following the geostrophic wind (e.g., Hoskins et al. 1978; Hoskins and Pedder 1980). </w:t>
      </w:r>
      <w:r w:rsidR="000B0AB6">
        <w:t>To determine the vertical motion</w:t>
      </w:r>
      <w:r w:rsidR="00BA6A47">
        <w:t xml:space="preserve"> pattern</w:t>
      </w:r>
      <w:r w:rsidR="000B0AB6">
        <w:t xml:space="preserve"> associated with each category of QGPV</w:t>
      </w:r>
      <w:r w:rsidR="00DD0B69">
        <w:t xml:space="preserve"> during an event type</w:t>
      </w:r>
      <w:r w:rsidR="000B0AB6">
        <w:t>, a</w:t>
      </w:r>
      <w:r w:rsidR="008C300C">
        <w:t xml:space="preserve"> distribution of </w:t>
      </w:r>
      <w:r w:rsidR="004672C9" w:rsidRPr="00201F6C">
        <w:rPr>
          <w:b/>
          <w:i/>
        </w:rPr>
        <w:t>Q</w:t>
      </w:r>
      <w:r w:rsidR="00D2764E">
        <w:t xml:space="preserve"> </w:t>
      </w:r>
      <w:r w:rsidR="004672C9">
        <w:t>vectors</w:t>
      </w:r>
      <w:r w:rsidR="00B03B36">
        <w:t xml:space="preserve"> </w:t>
      </w:r>
      <w:r w:rsidR="00DD0B69">
        <w:t xml:space="preserve">is calculated </w:t>
      </w:r>
      <w:r w:rsidR="000A7613">
        <w:t>in association with</w:t>
      </w:r>
      <w:r w:rsidR="00855836">
        <w:t xml:space="preserve"> each </w:t>
      </w:r>
      <w:r w:rsidR="005D7226">
        <w:t>category</w:t>
      </w:r>
      <w:r w:rsidR="00855836">
        <w:t xml:space="preserve"> of QGPV </w:t>
      </w:r>
      <w:r w:rsidR="00D82C91">
        <w:t>according to (</w:t>
      </w:r>
      <w:r w:rsidR="006D1519">
        <w:t>4</w:t>
      </w:r>
      <w:r w:rsidR="00D82C91">
        <w:t>)</w:t>
      </w:r>
      <w:r w:rsidR="00B03B36">
        <w:t>:</w:t>
      </w:r>
    </w:p>
    <w:p w14:paraId="1B0776C9" w14:textId="1DF246CA" w:rsidR="00855836" w:rsidRDefault="00B03B36" w:rsidP="00B03B36">
      <w:pPr>
        <w:widowControl w:val="0"/>
        <w:spacing w:line="480" w:lineRule="auto"/>
        <w:jc w:val="center"/>
      </w:pPr>
      <m:oMath>
        <m:r>
          <w:rPr>
            <w:rFonts w:ascii="Cambria Math" w:hAnsi="Cambria Math"/>
          </w:rPr>
          <m:t xml:space="preserve">                                        </m:t>
        </m:r>
        <m:r>
          <m:rPr>
            <m:sty m:val="bi"/>
          </m:rPr>
          <w:rPr>
            <w:rFonts w:ascii="Cambria Math" w:hAnsi="Cambria Math"/>
          </w:rPr>
          <m:t>Q</m:t>
        </m:r>
        <m:r>
          <w:rPr>
            <w:rFonts w:ascii="Cambria Math" w:hAnsi="Cambria Math"/>
          </w:rPr>
          <m:t>=–</m:t>
        </m:r>
        <m:f>
          <m:fPr>
            <m:ctrlPr>
              <w:rPr>
                <w:rFonts w:ascii="Cambria Math" w:hAnsi="Cambria Math"/>
                <w:i/>
              </w:rPr>
            </m:ctrlPr>
          </m:fPr>
          <m:num>
            <m:r>
              <w:rPr>
                <w:rFonts w:ascii="Cambria Math" w:hAnsi="Cambria Math"/>
              </w:rPr>
              <m:t>R</m:t>
            </m:r>
          </m:num>
          <m:den>
            <m:r>
              <w:rPr>
                <w:rFonts w:ascii="Cambria Math" w:hAnsi="Cambria Math"/>
              </w:rPr>
              <m:t>p</m:t>
            </m:r>
          </m:den>
        </m:f>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g</m:t>
                        </m:r>
                      </m:sub>
                    </m:sSub>
                  </m:num>
                  <m:den>
                    <m:r>
                      <w:rPr>
                        <w:rFonts w:ascii="Cambria Math" w:hAnsi="Cambria Math"/>
                      </w:rPr>
                      <m:t>∂x</m:t>
                    </m:r>
                  </m:den>
                </m:f>
                <m:r>
                  <w:rPr>
                    <w:rFonts w:ascii="Cambria Math" w:hAnsi="Cambria Math"/>
                  </w:rPr>
                  <m:t>∙</m:t>
                </m:r>
                <m:r>
                  <m:rPr>
                    <m:sty m:val="p"/>
                  </m:rPr>
                  <w:rPr>
                    <w:rFonts w:ascii="Cambria Math" w:hAnsi="Cambria Math"/>
                  </w:rPr>
                  <m:t>∇</m:t>
                </m:r>
                <m:r>
                  <w:rPr>
                    <w:rFonts w:ascii="Cambria Math" w:hAnsi="Cambria Math"/>
                  </w:rPr>
                  <m:t>T</m:t>
                </m:r>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g</m:t>
                        </m:r>
                      </m:sub>
                    </m:sSub>
                  </m:num>
                  <m:den>
                    <m:r>
                      <w:rPr>
                        <w:rFonts w:ascii="Cambria Math" w:hAnsi="Cambria Math"/>
                      </w:rPr>
                      <m:t>∂y</m:t>
                    </m:r>
                  </m:den>
                </m:f>
                <m:r>
                  <w:rPr>
                    <w:rFonts w:ascii="Cambria Math" w:hAnsi="Cambria Math"/>
                  </w:rPr>
                  <m:t>∙</m:t>
                </m:r>
                <m:r>
                  <m:rPr>
                    <m:sty m:val="p"/>
                  </m:rPr>
                  <w:rPr>
                    <w:rFonts w:ascii="Cambria Math" w:hAnsi="Cambria Math"/>
                  </w:rPr>
                  <m:t>∇</m:t>
                </m:r>
                <m:r>
                  <w:rPr>
                    <w:rFonts w:ascii="Cambria Math" w:hAnsi="Cambria Math"/>
                  </w:rPr>
                  <m:t>T</m:t>
                </m:r>
              </m:e>
            </m:d>
          </m:e>
        </m:d>
      </m:oMath>
      <w:r w:rsidR="006647EE">
        <w:t>.</w:t>
      </w:r>
      <w:r>
        <w:t xml:space="preserve">                </w:t>
      </w:r>
      <w:r w:rsidR="00D82C91">
        <w:t xml:space="preserve">      </w:t>
      </w:r>
      <w:r w:rsidR="00855836">
        <w:t xml:space="preserve"> </w:t>
      </w:r>
      <w:r>
        <w:t xml:space="preserve"> (</w:t>
      </w:r>
      <w:r w:rsidR="006D1519">
        <w:t>4</w:t>
      </w:r>
      <w:r>
        <w:t>)</w:t>
      </w:r>
    </w:p>
    <w:p w14:paraId="6897CC65" w14:textId="3486F357" w:rsidR="000C1177" w:rsidRDefault="00F1058B" w:rsidP="00B03B36">
      <w:pPr>
        <w:widowControl w:val="0"/>
        <w:spacing w:line="480" w:lineRule="auto"/>
      </w:pPr>
      <w:r>
        <w:t>I</w:t>
      </w:r>
      <w:r w:rsidR="00DD0B69">
        <w:t>n (4)</w:t>
      </w:r>
      <w:r>
        <w:t>, the geostrophic wind</w:t>
      </w:r>
      <w:r w:rsidR="008C300C">
        <w:t xml:space="preserve"> </w:t>
      </w:r>
      <w:r w:rsidR="00D440BB">
        <w:t xml:space="preserve">is defined as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g</m:t>
            </m:r>
          </m:sub>
        </m:sSub>
        <m:r>
          <w:rPr>
            <w:rFonts w:ascii="Cambria Math" w:hAnsi="Cambria Math"/>
          </w:rPr>
          <m:t>= –(1/</m:t>
        </m:r>
        <m:sSub>
          <m:sSubPr>
            <m:ctrlPr>
              <w:rPr>
                <w:rFonts w:ascii="Cambria Math" w:hAnsi="Cambria Math"/>
                <w:i/>
              </w:rPr>
            </m:ctrlPr>
          </m:sSubPr>
          <m:e>
            <m:r>
              <w:rPr>
                <w:rFonts w:ascii="Cambria Math" w:hAnsi="Cambria Math"/>
              </w:rPr>
              <m:t>f</m:t>
            </m:r>
          </m:e>
          <m:sub>
            <m:r>
              <w:rPr>
                <w:rFonts w:ascii="Cambria Math" w:hAnsi="Cambria Math"/>
              </w:rPr>
              <m:t>o</m:t>
            </m:r>
          </m:sub>
        </m:sSub>
        <m:r>
          <w:rPr>
            <w:rFonts w:ascii="Cambria Math" w:hAnsi="Cambria Math"/>
          </w:rPr>
          <m:t>)(</m:t>
        </m:r>
        <m:acc>
          <m:accPr>
            <m:ctrlPr>
              <w:rPr>
                <w:rFonts w:ascii="Cambria Math" w:hAnsi="Cambria Math"/>
                <w:i/>
              </w:rPr>
            </m:ctrlPr>
          </m:accPr>
          <m:e>
            <m:r>
              <w:rPr>
                <w:rFonts w:ascii="Cambria Math" w:hAnsi="Cambria Math"/>
              </w:rPr>
              <m:t>k</m:t>
            </m:r>
          </m:e>
        </m:acc>
        <m:r>
          <w:rPr>
            <w:rFonts w:ascii="Cambria Math" w:hAnsi="Cambria Math"/>
          </w:rPr>
          <m:t>×</m:t>
        </m:r>
        <m:r>
          <m:rPr>
            <m:sty m:val="p"/>
          </m:rPr>
          <w:rPr>
            <w:rFonts w:ascii="Cambria Math" w:hAnsi="Cambria Math"/>
          </w:rPr>
          <m:t>∇</m:t>
        </m:r>
        <m:r>
          <w:rPr>
            <w:rFonts w:ascii="Cambria Math" w:hAnsi="Cambria Math"/>
          </w:rPr>
          <m:t>ϕ)</m:t>
        </m:r>
      </m:oMath>
      <w:r w:rsidR="00D440BB">
        <w:t xml:space="preserve">, </w:t>
      </w:r>
      <m:oMath>
        <m:r>
          <w:rPr>
            <w:rFonts w:ascii="Cambria Math" w:hAnsi="Cambria Math"/>
          </w:rPr>
          <m:t>R</m:t>
        </m:r>
      </m:oMath>
      <w:r w:rsidR="001206D2">
        <w:t xml:space="preserve"> </w:t>
      </w:r>
      <w:r w:rsidR="00432CB5">
        <w:t>i</w:t>
      </w:r>
      <w:r w:rsidR="00B03B36">
        <w:t>s the gas constant for dry air</w:t>
      </w:r>
      <w:r w:rsidR="00855836">
        <w:t>,</w:t>
      </w:r>
      <w:r w:rsidR="000B0AB6">
        <w:t xml:space="preserve"> </w:t>
      </w:r>
      <m:oMath>
        <m:r>
          <w:rPr>
            <w:rFonts w:ascii="Cambria Math" w:hAnsi="Cambria Math"/>
          </w:rPr>
          <m:t>T</m:t>
        </m:r>
      </m:oMath>
      <w:r w:rsidR="001206D2">
        <w:t xml:space="preserve"> </w:t>
      </w:r>
      <w:r w:rsidR="00432CB5">
        <w:t>i</w:t>
      </w:r>
      <w:r w:rsidR="000B0AB6">
        <w:t>s the composite temperature field,</w:t>
      </w:r>
      <w:r w:rsidR="00201F6C">
        <w:t xml:space="preserve"> and</w:t>
      </w:r>
      <w:r w:rsidR="00855836">
        <w:t xml:space="preserve"> </w:t>
      </w:r>
      <m:oMath>
        <m:r>
          <w:rPr>
            <w:rFonts w:ascii="Cambria Math" w:hAnsi="Cambria Math"/>
          </w:rPr>
          <m:t>p</m:t>
        </m:r>
      </m:oMath>
      <w:r w:rsidR="00B03B36">
        <w:t xml:space="preserve"> </w:t>
      </w:r>
      <w:r w:rsidR="00432CB5">
        <w:t>i</w:t>
      </w:r>
      <w:r w:rsidR="00B03B36">
        <w:t>s the pressure.</w:t>
      </w:r>
      <w:r w:rsidR="006D1519">
        <w:t xml:space="preserve"> Note that </w:t>
      </w:r>
      <w:r w:rsidR="00C96EC3">
        <w:t>with</w:t>
      </w:r>
      <w:r w:rsidR="006D1519">
        <w:t>in the</w:t>
      </w:r>
      <w:r w:rsidR="00112D94">
        <w:t xml:space="preserve"> expression for the</w:t>
      </w:r>
      <w:r w:rsidR="006D1519">
        <w:t xml:space="preserve"> geostrophic wind, </w:t>
      </w:r>
      <m:oMath>
        <m:sSub>
          <m:sSubPr>
            <m:ctrlPr>
              <w:rPr>
                <w:rFonts w:ascii="Cambria Math" w:hAnsi="Cambria Math"/>
                <w:i/>
              </w:rPr>
            </m:ctrlPr>
          </m:sSubPr>
          <m:e>
            <m:r>
              <w:rPr>
                <w:rFonts w:ascii="Cambria Math" w:hAnsi="Cambria Math"/>
              </w:rPr>
              <m:t>ϕ</m:t>
            </m:r>
          </m:e>
          <m:sub>
            <m:r>
              <w:rPr>
                <w:rFonts w:ascii="Cambria Math" w:hAnsi="Cambria Math"/>
              </w:rPr>
              <m:t>m</m:t>
            </m:r>
          </m:sub>
        </m:sSub>
      </m:oMath>
      <w:r w:rsidR="006D1519">
        <w:t xml:space="preserve"> or </w:t>
      </w:r>
      <m:oMath>
        <m:sSubSup>
          <m:sSubSupPr>
            <m:ctrlPr>
              <w:rPr>
                <w:rFonts w:ascii="Cambria Math" w:hAnsi="Cambria Math"/>
                <w:i/>
              </w:rPr>
            </m:ctrlPr>
          </m:sSubSupPr>
          <m:e>
            <m:r>
              <w:rPr>
                <w:rFonts w:ascii="Cambria Math" w:hAnsi="Cambria Math"/>
              </w:rPr>
              <m:t>ϕ</m:t>
            </m:r>
          </m:e>
          <m:sub>
            <m:r>
              <w:rPr>
                <w:rFonts w:ascii="Cambria Math" w:hAnsi="Cambria Math"/>
              </w:rPr>
              <m:t>i</m:t>
            </m:r>
          </m:sub>
          <m:sup>
            <m:r>
              <w:rPr>
                <w:rFonts w:ascii="Cambria Math" w:hAnsi="Cambria Math"/>
              </w:rPr>
              <m:t>'</m:t>
            </m:r>
          </m:sup>
        </m:sSubSup>
      </m:oMath>
      <w:r w:rsidR="00B03B36">
        <w:t xml:space="preserve"> </w:t>
      </w:r>
      <w:r w:rsidR="00E60274">
        <w:t>can</w:t>
      </w:r>
      <w:r w:rsidR="006D1519">
        <w:t xml:space="preserve"> be substituted for </w:t>
      </w:r>
      <m:oMath>
        <m:r>
          <w:rPr>
            <w:rFonts w:ascii="Cambria Math" w:hAnsi="Cambria Math"/>
          </w:rPr>
          <m:t>ϕ</m:t>
        </m:r>
      </m:oMath>
      <w:r w:rsidR="006D1519">
        <w:t xml:space="preserve"> to </w:t>
      </w:r>
      <w:r w:rsidR="00A04E63">
        <w:t>calculate</w:t>
      </w:r>
      <w:r w:rsidR="006D1519">
        <w:t xml:space="preserve"> the geostrophic wind associated with each category of QGPV</w:t>
      </w:r>
      <w:r w:rsidR="000972CE">
        <w:t xml:space="preserve">, such that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g</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gm</m:t>
            </m:r>
          </m:sub>
        </m:sSub>
        <m:r>
          <m:rPr>
            <m:sty m:val="bi"/>
          </m:rP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b/>
                    <w:i/>
                  </w:rPr>
                </m:ctrlPr>
              </m:sSubSupPr>
              <m:e>
                <m:r>
                  <m:rPr>
                    <m:sty m:val="bi"/>
                  </m:rPr>
                  <w:rPr>
                    <w:rFonts w:ascii="Cambria Math" w:hAnsi="Cambria Math"/>
                  </w:rPr>
                  <m:t>V</m:t>
                </m:r>
              </m:e>
              <m:sub>
                <m:r>
                  <m:rPr>
                    <m:sty m:val="bi"/>
                  </m:rPr>
                  <w:rPr>
                    <w:rFonts w:ascii="Cambria Math" w:hAnsi="Cambria Math"/>
                  </w:rPr>
                  <m:t>gi</m:t>
                </m:r>
              </m:sub>
              <m:sup>
                <m:r>
                  <m:rPr>
                    <m:sty m:val="bi"/>
                  </m:rPr>
                  <w:rPr>
                    <w:rFonts w:ascii="Cambria Math" w:hAnsi="Cambria Math"/>
                  </w:rPr>
                  <m:t>'</m:t>
                </m:r>
              </m:sup>
            </m:sSubSup>
          </m:e>
        </m:nary>
      </m:oMath>
      <w:r w:rsidR="006D1519">
        <w:t xml:space="preserve">. </w:t>
      </w:r>
      <w:r w:rsidR="00E527BD" w:rsidRPr="00E527BD">
        <w:t xml:space="preserve">At this juncture, the composite temperature field is not partitioned in the calculation of </w:t>
      </w:r>
      <w:r w:rsidR="00E527BD" w:rsidRPr="006664AF">
        <w:rPr>
          <w:b/>
          <w:i/>
        </w:rPr>
        <w:t>Q</w:t>
      </w:r>
      <w:r w:rsidR="00E527BD" w:rsidRPr="00E527BD">
        <w:t xml:space="preserve"> </w:t>
      </w:r>
      <w:r w:rsidR="00690567">
        <w:t xml:space="preserve">vectors </w:t>
      </w:r>
      <w:r w:rsidR="00E527BD" w:rsidRPr="00E527BD">
        <w:t>associated with each category of QGPV</w:t>
      </w:r>
      <w:r w:rsidR="000C1177">
        <w:t xml:space="preserve">, but </w:t>
      </w:r>
      <w:r w:rsidR="00D63E79">
        <w:t>will be</w:t>
      </w:r>
      <w:r w:rsidR="00BE30AC">
        <w:t xml:space="preserve"> partitioned</w:t>
      </w:r>
      <w:r w:rsidR="00D63E79">
        <w:t xml:space="preserve"> </w:t>
      </w:r>
      <w:r w:rsidR="009F6442">
        <w:t>in</w:t>
      </w:r>
      <w:r w:rsidR="00BE30AC">
        <w:t xml:space="preserve"> section 3c</w:t>
      </w:r>
      <w:r w:rsidR="00E527BD" w:rsidRPr="00E527BD">
        <w:t>.</w:t>
      </w:r>
      <w:r w:rsidR="00E527BD">
        <w:t xml:space="preserve"> </w:t>
      </w:r>
    </w:p>
    <w:p w14:paraId="48426AED" w14:textId="46052E65" w:rsidR="00B03B36" w:rsidRPr="00B03B36" w:rsidRDefault="000C1177" w:rsidP="00B03B36">
      <w:pPr>
        <w:widowControl w:val="0"/>
        <w:spacing w:line="480" w:lineRule="auto"/>
      </w:pPr>
      <w:r>
        <w:tab/>
      </w:r>
      <w:r w:rsidR="00184F68">
        <w:t>The divergence of</w:t>
      </w:r>
      <w:r w:rsidR="00D82C91">
        <w:t xml:space="preserve"> </w:t>
      </w:r>
      <w:r w:rsidR="00201F6C" w:rsidRPr="00201F6C">
        <w:rPr>
          <w:b/>
          <w:i/>
        </w:rPr>
        <w:t>Q</w:t>
      </w:r>
      <w:r w:rsidR="00184F68">
        <w:t xml:space="preserve"> </w:t>
      </w:r>
      <w:r w:rsidR="00A25D28">
        <w:t xml:space="preserve">associated with each category of QGPV </w:t>
      </w:r>
      <w:r w:rsidR="00D82C91">
        <w:t>is</w:t>
      </w:r>
      <w:r w:rsidR="008C300C">
        <w:t xml:space="preserve"> </w:t>
      </w:r>
      <w:r w:rsidR="00D82C91">
        <w:t>substituted</w:t>
      </w:r>
      <w:r w:rsidR="00E834CF">
        <w:t xml:space="preserve"> independently</w:t>
      </w:r>
      <w:r w:rsidR="00D82C91">
        <w:t xml:space="preserve"> into</w:t>
      </w:r>
      <w:r w:rsidR="008C300C">
        <w:t xml:space="preserve"> the right-hand side </w:t>
      </w:r>
      <w:r w:rsidR="001D2D6C">
        <w:t>of the</w:t>
      </w:r>
      <w:r w:rsidR="0019762E">
        <w:t xml:space="preserve"> QG-</w:t>
      </w:r>
      <m:oMath>
        <m:r>
          <w:rPr>
            <w:rFonts w:ascii="Cambria Math" w:hAnsi="Cambria Math"/>
          </w:rPr>
          <m:t>ω</m:t>
        </m:r>
      </m:oMath>
      <w:r w:rsidR="0019762E">
        <w:t xml:space="preserve"> equation</w:t>
      </w:r>
      <w:r w:rsidR="006647EE">
        <w:t xml:space="preserve"> (</w:t>
      </w:r>
      <w:r w:rsidR="006D1519">
        <w:t>5</w:t>
      </w:r>
      <w:r w:rsidR="006647EE">
        <w:t>)</w:t>
      </w:r>
      <w:r w:rsidR="00855836">
        <w:t xml:space="preserve"> to </w:t>
      </w:r>
      <w:r w:rsidR="00E834CF">
        <w:t>calculate</w:t>
      </w:r>
      <w:r w:rsidR="00855836">
        <w:t xml:space="preserve"> </w:t>
      </w:r>
      <w:r w:rsidR="001D2D6C">
        <w:t>the</w:t>
      </w:r>
      <w:r w:rsidR="002D70C3">
        <w:t xml:space="preserve"> QG</w:t>
      </w:r>
      <w:r w:rsidR="00855836">
        <w:t xml:space="preserve"> vertical motion associated with</w:t>
      </w:r>
      <w:r w:rsidR="008C300C">
        <w:t xml:space="preserve"> each</w:t>
      </w:r>
      <w:r w:rsidR="00855836">
        <w:t xml:space="preserve"> </w:t>
      </w:r>
      <w:r w:rsidR="00201F6C">
        <w:t>category</w:t>
      </w:r>
      <w:r w:rsidR="00855836">
        <w:t xml:space="preserve"> of QGPV</w:t>
      </w:r>
      <w:r w:rsidR="00B03B36">
        <w:t>:</w:t>
      </w:r>
    </w:p>
    <w:p w14:paraId="72E71CE3" w14:textId="27482B11" w:rsidR="00015F9B" w:rsidRDefault="00554194" w:rsidP="00554194">
      <w:pPr>
        <w:widowControl w:val="0"/>
        <w:spacing w:line="480" w:lineRule="auto"/>
        <w:jc w:val="center"/>
      </w:pPr>
      <m:oMath>
        <m:r>
          <w:rPr>
            <w:rFonts w:ascii="Cambria Math" w:hAnsi="Cambria Math"/>
          </w:rPr>
          <w:lastRenderedPageBreak/>
          <m:t xml:space="preserve">                                           </m:t>
        </m:r>
        <m:sSub>
          <m:sSubPr>
            <m:ctrlPr>
              <w:rPr>
                <w:rFonts w:ascii="Cambria Math" w:hAnsi="Cambria Math"/>
                <w:i/>
              </w:rPr>
            </m:ctrlPr>
          </m:sSubPr>
          <m:e>
            <m:r>
              <w:rPr>
                <w:rFonts w:ascii="Cambria Math" w:hAnsi="Cambria Math"/>
              </w:rPr>
              <m:t>σ</m:t>
            </m:r>
          </m:e>
          <m:sub>
            <m:r>
              <w:rPr>
                <w:rFonts w:ascii="Cambria Math" w:hAnsi="Cambria Math"/>
              </w:rPr>
              <m:t>r</m:t>
            </m:r>
          </m:sub>
        </m:sSub>
        <m:sSup>
          <m:sSupPr>
            <m:ctrlPr>
              <w:rPr>
                <w:rFonts w:ascii="Cambria Math" w:hAnsi="Cambria Math"/>
                <w:i/>
              </w:rPr>
            </m:ctrlPr>
          </m:sSupPr>
          <m:e>
            <m:r>
              <m:rPr>
                <m:sty m:val="p"/>
              </m:rP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ω</m:t>
            </m:r>
          </m:e>
          <m:sub>
            <m:r>
              <w:rPr>
                <w:rFonts w:ascii="Cambria Math" w:hAnsi="Cambria Math"/>
              </w:rPr>
              <m:t>a</m:t>
            </m:r>
          </m:sub>
        </m:sSub>
        <m:r>
          <m:rPr>
            <m:sty m:val="p"/>
          </m:rPr>
          <w:rPr>
            <w:rFonts w:ascii="Cambria Math" w:hAnsi="Cambria Math"/>
          </w:rPr>
          <m:t>+</m:t>
        </m:r>
        <m:sSubSup>
          <m:sSubSupPr>
            <m:ctrlPr>
              <w:rPr>
                <w:rFonts w:ascii="Cambria Math" w:hAnsi="Cambria Math"/>
              </w:rPr>
            </m:ctrlPr>
          </m:sSubSupPr>
          <m:e>
            <m:r>
              <w:rPr>
                <w:rFonts w:ascii="Cambria Math" w:hAnsi="Cambria Math"/>
              </w:rPr>
              <m:t>f</m:t>
            </m:r>
          </m:e>
          <m:sub>
            <m:r>
              <w:rPr>
                <w:rFonts w:ascii="Cambria Math" w:hAnsi="Cambria Math"/>
              </w:rPr>
              <m:t>o</m:t>
            </m:r>
          </m:sub>
          <m:sup>
            <m:r>
              <w:rPr>
                <w:rFonts w:ascii="Cambria Math" w:hAnsi="Cambria Math"/>
              </w:rPr>
              <m:t>2</m:t>
            </m:r>
          </m:sup>
        </m:sSubSup>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sSub>
              <m:sSubPr>
                <m:ctrlPr>
                  <w:rPr>
                    <w:rFonts w:ascii="Cambria Math" w:hAnsi="Cambria Math"/>
                    <w:i/>
                  </w:rPr>
                </m:ctrlPr>
              </m:sSubPr>
              <m:e>
                <m:r>
                  <w:rPr>
                    <w:rFonts w:ascii="Cambria Math" w:hAnsi="Cambria Math"/>
                  </w:rPr>
                  <m:t>ω</m:t>
                </m:r>
              </m:e>
              <m:sub>
                <m:r>
                  <w:rPr>
                    <w:rFonts w:ascii="Cambria Math" w:hAnsi="Cambria Math"/>
                  </w:rPr>
                  <m:t>a</m:t>
                </m:r>
              </m:sub>
            </m:sSub>
          </m:num>
          <m:den>
            <m: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2</m:t>
                </m:r>
              </m:sup>
            </m:sSup>
          </m:den>
        </m:f>
        <m:r>
          <w:rPr>
            <w:rFonts w:ascii="Cambria Math" w:hAnsi="Cambria Math"/>
          </w:rPr>
          <m:t>=–2</m:t>
        </m:r>
        <m:r>
          <m:rPr>
            <m:sty m:val="p"/>
          </m:rPr>
          <w:rPr>
            <w:rFonts w:ascii="Cambria Math" w:hAnsi="Cambria Math"/>
          </w:rPr>
          <m:t>∇</m:t>
        </m:r>
        <m:r>
          <w:rPr>
            <w:rFonts w:ascii="Cambria Math" w:hAnsi="Cambria Math"/>
          </w:rPr>
          <m:t>∙</m:t>
        </m:r>
        <m:r>
          <m:rPr>
            <m:sty m:val="bi"/>
          </m:rPr>
          <w:rPr>
            <w:rFonts w:ascii="Cambria Math" w:hAnsi="Cambria Math"/>
          </w:rPr>
          <m:t>Q</m:t>
        </m:r>
      </m:oMath>
      <w:r>
        <w:rPr>
          <w:b/>
        </w:rPr>
        <w:t xml:space="preserve">                                </w:t>
      </w:r>
      <w:r w:rsidRPr="00554194">
        <w:t>(</w:t>
      </w:r>
      <w:r w:rsidR="006D1519">
        <w:t>5</w:t>
      </w:r>
      <w:r w:rsidRPr="00554194">
        <w:t>)</w:t>
      </w:r>
    </w:p>
    <w:p w14:paraId="7A0D50C3" w14:textId="015F6C16" w:rsidR="00BE4222" w:rsidRDefault="00855836" w:rsidP="007A3462">
      <w:pPr>
        <w:widowControl w:val="0"/>
        <w:spacing w:line="480" w:lineRule="auto"/>
      </w:pPr>
      <w:r>
        <w:t>where the</w:t>
      </w:r>
      <w:r w:rsidR="004F7D24">
        <w:t xml:space="preserve"> full</w:t>
      </w:r>
      <w:r>
        <w:t xml:space="preserve"> </w:t>
      </w:r>
      <w:r w:rsidR="008E13B9">
        <w:t xml:space="preserve">adiabatic contribution to the </w:t>
      </w:r>
      <w:r w:rsidR="001206D2">
        <w:t>QG</w:t>
      </w:r>
      <w:r>
        <w:t xml:space="preserve"> vertical motion</w:t>
      </w:r>
      <w:r w:rsidR="00A1502A">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A1502A">
        <w:t>)</w:t>
      </w:r>
      <w:r>
        <w:t xml:space="preserve"> is equal to the sum of the vertical motion associated with</w:t>
      </w:r>
      <w:r w:rsidR="00537594">
        <w:t xml:space="preserve"> the mean QGPV and</w:t>
      </w:r>
      <w:r>
        <w:t xml:space="preserve"> each </w:t>
      </w:r>
      <w:r w:rsidR="00D82C91">
        <w:t>category</w:t>
      </w:r>
      <w:r>
        <w:t xml:space="preserve"> of</w:t>
      </w:r>
      <w:r w:rsidR="00537594">
        <w:t xml:space="preserve"> perturbation</w:t>
      </w:r>
      <w:r>
        <w:t xml:space="preserve"> QGPV,</w:t>
      </w:r>
      <w:r w:rsidR="006C1C6A">
        <w:t xml:space="preserve"> such that</w:t>
      </w:r>
      <w:r>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m</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ω</m:t>
                </m:r>
              </m:e>
              <m:sub>
                <m:r>
                  <w:rPr>
                    <w:rFonts w:ascii="Cambria Math" w:hAnsi="Cambria Math"/>
                  </w:rPr>
                  <m:t>i</m:t>
                </m:r>
              </m:sub>
              <m:sup>
                <m:r>
                  <w:rPr>
                    <w:rFonts w:ascii="Cambria Math" w:hAnsi="Cambria Math"/>
                  </w:rPr>
                  <m:t>'</m:t>
                </m:r>
              </m:sup>
            </m:sSubSup>
          </m:e>
        </m:nary>
      </m:oMath>
      <w:r>
        <w:t>.</w:t>
      </w:r>
      <w:r w:rsidR="00EF5499">
        <w:t xml:space="preserve"> </w:t>
      </w:r>
      <w:r w:rsidR="006E451C">
        <w:t>An inversion of (</w:t>
      </w:r>
      <w:r w:rsidR="006D1519">
        <w:t>5</w:t>
      </w:r>
      <w:r w:rsidR="006E451C">
        <w:t>) for each category of QGPV is performed</w:t>
      </w:r>
      <w:r w:rsidR="005A6336">
        <w:t xml:space="preserve"> using successive over-relaxation</w:t>
      </w:r>
      <w:r w:rsidR="00C17298">
        <w:t xml:space="preserve"> </w:t>
      </w:r>
      <w:r w:rsidR="006C1C6A">
        <w:t>with</w:t>
      </w:r>
      <w:r w:rsidR="00C17298">
        <w:t xml:space="preserve"> a relaxation factor of 1.8</w:t>
      </w:r>
      <w:r w:rsidR="006E451C">
        <w:t xml:space="preserve"> </w:t>
      </w:r>
      <w:r w:rsidR="004F7B2A">
        <w:t>in</w:t>
      </w:r>
      <w:r w:rsidR="006E451C">
        <w:t xml:space="preserve"> the same domain used to construct the </w:t>
      </w:r>
      <w:r w:rsidR="00DD0F2E">
        <w:t>event composites</w:t>
      </w:r>
      <w:r w:rsidR="00C17298">
        <w:t>. In all inversions of (5),</w:t>
      </w:r>
      <w:r w:rsidR="006E451C">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C17298">
        <w:t xml:space="preserve"> is set to 0 </w:t>
      </w:r>
      <w:r w:rsidR="006E451C">
        <w:t>on the lateral and horizontal boundaries of the domain.</w:t>
      </w:r>
      <w:r w:rsidR="00BE4222">
        <w:t xml:space="preserve"> </w:t>
      </w:r>
      <w:r w:rsidR="00E63CDE">
        <w:t>A physical interpretation of</w:t>
      </w:r>
      <w:r w:rsidR="00EF57E1">
        <w:t xml:space="preserve"> (4) and</w:t>
      </w:r>
      <w:r w:rsidR="003716AA">
        <w:t xml:space="preserve"> (5)</w:t>
      </w:r>
      <w:r w:rsidR="00357728">
        <w:t xml:space="preserve"> </w:t>
      </w:r>
      <w:r w:rsidR="0073329B">
        <w:t>reveals</w:t>
      </w:r>
      <w:r w:rsidR="003716AA">
        <w:t xml:space="preserve"> that</w:t>
      </w:r>
      <w:r w:rsidR="00BE4222">
        <w:t xml:space="preserve"> the QG vertical motion </w:t>
      </w:r>
      <w:r w:rsidR="002F63AB">
        <w:t>that corresponds</w:t>
      </w:r>
      <w:r w:rsidR="0073329B">
        <w:t xml:space="preserve"> to</w:t>
      </w:r>
      <w:r w:rsidR="00BE4222">
        <w:t xml:space="preserve"> </w:t>
      </w:r>
      <w:r w:rsidR="0073329B">
        <w:t>a particular</w:t>
      </w:r>
      <w:r w:rsidR="00BE4222">
        <w:t xml:space="preserve"> category of QGPV </w:t>
      </w:r>
      <w:r w:rsidR="0073329B">
        <w:t>is associated with</w:t>
      </w:r>
      <w:r w:rsidR="009E7E9C">
        <w:t xml:space="preserve"> </w:t>
      </w:r>
      <w:r w:rsidR="00BE4222">
        <w:t xml:space="preserve">changes in the orientation and magnitude of the </w:t>
      </w:r>
      <w:r w:rsidR="002D70C3">
        <w:t xml:space="preserve">composite </w:t>
      </w:r>
      <w:r w:rsidR="00F879BE">
        <w:t xml:space="preserve">horizontal </w:t>
      </w:r>
      <w:r w:rsidR="00BE4222">
        <w:t>temperature gradient</w:t>
      </w:r>
      <w:r w:rsidR="003716AA">
        <w:t xml:space="preserve"> </w:t>
      </w:r>
      <w:r w:rsidR="00C435AA">
        <w:t xml:space="preserve">that are accomplished </w:t>
      </w:r>
      <w:r w:rsidR="003716AA">
        <w:t xml:space="preserve">by the geostrophic wind </w:t>
      </w:r>
      <w:r w:rsidR="00993D2F">
        <w:t>induced by</w:t>
      </w:r>
      <w:r w:rsidR="003716AA">
        <w:t xml:space="preserve"> </w:t>
      </w:r>
      <w:r w:rsidR="00993D2F">
        <w:t>that particular</w:t>
      </w:r>
      <w:r w:rsidR="003716AA">
        <w:t xml:space="preserve"> category of QGPV.</w:t>
      </w:r>
    </w:p>
    <w:p w14:paraId="5FD5E7DC" w14:textId="308D5849" w:rsidR="00F90B34" w:rsidRDefault="00F90B34" w:rsidP="007A3462">
      <w:pPr>
        <w:widowControl w:val="0"/>
        <w:spacing w:line="480" w:lineRule="auto"/>
      </w:pPr>
      <w:r>
        <w:tab/>
      </w:r>
      <w:r w:rsidR="00A9067F">
        <w:t>B</w:t>
      </w:r>
      <w:r w:rsidR="001B2154">
        <w:t>ased on the established</w:t>
      </w:r>
      <w:r w:rsidR="00A40603">
        <w:t xml:space="preserve"> influence of diabatic heating on the development of jet superposition events</w:t>
      </w:r>
      <w:r w:rsidR="001B2154">
        <w:t xml:space="preserve"> (e.g., Winters and Martin 2016, 2017; Winters et al. 2020)</w:t>
      </w:r>
      <w:r w:rsidR="00A40603">
        <w:t>, t</w:t>
      </w:r>
      <w:r>
        <w:t>he diabatic contribution to the QG vertical motion</w:t>
      </w:r>
      <w:r w:rsidR="00A9067F">
        <w:t xml:space="preserve"> (</w:t>
      </w:r>
      <m:oMath>
        <m:sSub>
          <m:sSubPr>
            <m:ctrlPr>
              <w:rPr>
                <w:rFonts w:ascii="Cambria Math" w:hAnsi="Cambria Math"/>
                <w:i/>
              </w:rPr>
            </m:ctrlPr>
          </m:sSubPr>
          <m:e>
            <m:r>
              <w:rPr>
                <w:rFonts w:ascii="Cambria Math" w:hAnsi="Cambria Math"/>
              </w:rPr>
              <m:t>ω</m:t>
            </m:r>
          </m:e>
          <m:sub>
            <m:r>
              <w:rPr>
                <w:rFonts w:ascii="Cambria Math" w:hAnsi="Cambria Math"/>
              </w:rPr>
              <m:t>d</m:t>
            </m:r>
          </m:sub>
        </m:sSub>
      </m:oMath>
      <w:r w:rsidR="00A9067F">
        <w:t>)</w:t>
      </w:r>
      <w:r>
        <w:t xml:space="preserve"> </w:t>
      </w:r>
      <w:r w:rsidR="004F7D24">
        <w:t>is</w:t>
      </w:r>
      <w:r w:rsidR="00A40603">
        <w:t xml:space="preserve"> determined via the </w:t>
      </w:r>
      <w:r w:rsidR="00B235DA">
        <w:t>version</w:t>
      </w:r>
      <w:r w:rsidR="00DD437D">
        <w:t xml:space="preserve"> of the QG-</w:t>
      </w:r>
      <m:oMath>
        <m:r>
          <w:rPr>
            <w:rFonts w:ascii="Cambria Math" w:hAnsi="Cambria Math"/>
          </w:rPr>
          <m:t>ω</m:t>
        </m:r>
      </m:oMath>
      <w:r w:rsidR="00DD437D">
        <w:t xml:space="preserve"> equation</w:t>
      </w:r>
      <w:r w:rsidR="008C3E70">
        <w:t xml:space="preserve"> below</w:t>
      </w:r>
      <w:r w:rsidR="004F7D24">
        <w:t>:</w:t>
      </w:r>
    </w:p>
    <w:p w14:paraId="088FB7DA" w14:textId="05DFF121" w:rsidR="00A40603" w:rsidRDefault="00A40603" w:rsidP="00A40603">
      <w:pPr>
        <w:widowControl w:val="0"/>
        <w:spacing w:line="480" w:lineRule="auto"/>
        <w:jc w:val="center"/>
      </w:pPr>
      <m:oMath>
        <m: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r</m:t>
            </m:r>
          </m:sub>
        </m:sSub>
        <m:sSup>
          <m:sSupPr>
            <m:ctrlPr>
              <w:rPr>
                <w:rFonts w:ascii="Cambria Math" w:hAnsi="Cambria Math"/>
                <w:i/>
              </w:rPr>
            </m:ctrlPr>
          </m:sSupPr>
          <m:e>
            <m:r>
              <m:rPr>
                <m:sty m:val="p"/>
              </m:rP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ω</m:t>
            </m:r>
          </m:e>
          <m:sub>
            <m:r>
              <w:rPr>
                <w:rFonts w:ascii="Cambria Math" w:hAnsi="Cambria Math"/>
              </w:rPr>
              <m:t>d</m:t>
            </m:r>
          </m:sub>
        </m:sSub>
        <m:r>
          <m:rPr>
            <m:sty m:val="p"/>
          </m:rPr>
          <w:rPr>
            <w:rFonts w:ascii="Cambria Math" w:hAnsi="Cambria Math"/>
          </w:rPr>
          <m:t>+</m:t>
        </m:r>
        <m:sSubSup>
          <m:sSubSupPr>
            <m:ctrlPr>
              <w:rPr>
                <w:rFonts w:ascii="Cambria Math" w:hAnsi="Cambria Math"/>
              </w:rPr>
            </m:ctrlPr>
          </m:sSubSupPr>
          <m:e>
            <m:r>
              <w:rPr>
                <w:rFonts w:ascii="Cambria Math" w:hAnsi="Cambria Math"/>
              </w:rPr>
              <m:t>f</m:t>
            </m:r>
          </m:e>
          <m:sub>
            <m:r>
              <w:rPr>
                <w:rFonts w:ascii="Cambria Math" w:hAnsi="Cambria Math"/>
              </w:rPr>
              <m:t>o</m:t>
            </m:r>
          </m:sub>
          <m:sup>
            <m:r>
              <w:rPr>
                <w:rFonts w:ascii="Cambria Math" w:hAnsi="Cambria Math"/>
              </w:rPr>
              <m:t>2</m:t>
            </m:r>
          </m:sup>
        </m:sSubSup>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sSub>
              <m:sSubPr>
                <m:ctrlPr>
                  <w:rPr>
                    <w:rFonts w:ascii="Cambria Math" w:hAnsi="Cambria Math"/>
                    <w:i/>
                  </w:rPr>
                </m:ctrlPr>
              </m:sSubPr>
              <m:e>
                <m:r>
                  <w:rPr>
                    <w:rFonts w:ascii="Cambria Math" w:hAnsi="Cambria Math"/>
                  </w:rPr>
                  <m:t>ω</m:t>
                </m:r>
              </m:e>
              <m:sub>
                <m:r>
                  <w:rPr>
                    <w:rFonts w:ascii="Cambria Math" w:hAnsi="Cambria Math"/>
                  </w:rPr>
                  <m:t>d</m:t>
                </m:r>
              </m:sub>
            </m:sSub>
          </m:num>
          <m:den>
            <m: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R</m:t>
            </m:r>
          </m:num>
          <m:den>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p</m:t>
            </m:r>
          </m:den>
        </m:f>
        <m:sSup>
          <m:sSupPr>
            <m:ctrlPr>
              <w:rPr>
                <w:rFonts w:ascii="Cambria Math" w:hAnsi="Cambria Math"/>
                <w:i/>
              </w:rPr>
            </m:ctrlPr>
          </m:sSupPr>
          <m:e>
            <m:r>
              <m:rPr>
                <m:sty m:val="p"/>
              </m:rPr>
              <w:rPr>
                <w:rFonts w:ascii="Cambria Math" w:hAnsi="Cambria Math"/>
              </w:rPr>
              <m:t>∇</m:t>
            </m:r>
          </m:e>
          <m:sup>
            <m:r>
              <w:rPr>
                <w:rFonts w:ascii="Cambria Math" w:hAnsi="Cambria Math"/>
              </w:rPr>
              <m:t>2</m:t>
            </m:r>
          </m:sup>
        </m:sSup>
        <m:r>
          <m:rPr>
            <m:sty m:val="p"/>
          </m:rPr>
          <w:rPr>
            <w:rFonts w:ascii="Cambria Math" w:hAnsi="Cambria Math"/>
          </w:rPr>
          <m:t>J</m:t>
        </m:r>
      </m:oMath>
      <w:r>
        <w:t xml:space="preserve">                               (6)</w:t>
      </w:r>
    </w:p>
    <w:p w14:paraId="3E00ECEA" w14:textId="189904B6" w:rsidR="00623A1B" w:rsidRDefault="00330A14" w:rsidP="00A40603">
      <w:pPr>
        <w:widowControl w:val="0"/>
        <w:spacing w:line="480" w:lineRule="auto"/>
      </w:pPr>
      <w:r>
        <w:t>where</w:t>
      </w:r>
      <w:r w:rsidR="00A40603">
        <w:t xml:space="preserve"> the diabatic heating rate is defined as</w:t>
      </w:r>
      <w:r>
        <w:t xml:space="preserve"> </w:t>
      </w:r>
      <m:oMath>
        <m:r>
          <w:rPr>
            <w:rFonts w:ascii="Cambria Math" w:hAnsi="Cambria Math"/>
          </w:rPr>
          <m:t>J=</m:t>
        </m:r>
        <m:sSub>
          <m:sSubPr>
            <m:ctrlPr>
              <w:rPr>
                <w:rFonts w:ascii="Cambria Math" w:hAnsi="Cambria Math"/>
                <w:i/>
              </w:rPr>
            </m:ctrlPr>
          </m:sSubPr>
          <m:e>
            <m:r>
              <w:rPr>
                <w:rFonts w:ascii="Cambria Math" w:hAnsi="Cambria Math"/>
              </w:rPr>
              <m:t>c</m:t>
            </m:r>
          </m:e>
          <m:sub>
            <m:r>
              <w:rPr>
                <w:rFonts w:ascii="Cambria Math" w:hAnsi="Cambria Math"/>
              </w:rPr>
              <m:t>p</m:t>
            </m:r>
          </m:sub>
        </m:sSub>
        <m:f>
          <m:fPr>
            <m:ctrlPr>
              <w:rPr>
                <w:rFonts w:ascii="Cambria Math" w:hAnsi="Cambria Math"/>
                <w:i/>
              </w:rPr>
            </m:ctrlPr>
          </m:fPr>
          <m:num>
            <m:r>
              <w:rPr>
                <w:rFonts w:ascii="Cambria Math" w:hAnsi="Cambria Math"/>
              </w:rPr>
              <m:t>dT</m:t>
            </m:r>
          </m:num>
          <m:den>
            <m:r>
              <w:rPr>
                <w:rFonts w:ascii="Cambria Math" w:hAnsi="Cambria Math"/>
              </w:rPr>
              <m:t>dt</m:t>
            </m:r>
          </m:den>
        </m:f>
      </m:oMath>
      <w:r>
        <w:t>, and</w:t>
      </w:r>
      <w:r w:rsidR="00895A78">
        <w:t xml:space="preserve"> where</w:t>
      </w:r>
      <w:r>
        <w:t xml:space="preserve"> </w:t>
      </w:r>
      <m:oMath>
        <m:f>
          <m:fPr>
            <m:ctrlPr>
              <w:rPr>
                <w:rFonts w:ascii="Cambria Math" w:hAnsi="Cambria Math"/>
                <w:i/>
              </w:rPr>
            </m:ctrlPr>
          </m:fPr>
          <m:num>
            <m:r>
              <w:rPr>
                <w:rFonts w:ascii="Cambria Math" w:hAnsi="Cambria Math"/>
              </w:rPr>
              <m:t>dT</m:t>
            </m:r>
          </m:num>
          <m:den>
            <m:r>
              <w:rPr>
                <w:rFonts w:ascii="Cambria Math" w:hAnsi="Cambria Math"/>
              </w:rPr>
              <m:t>dt</m:t>
            </m:r>
          </m:den>
        </m:f>
      </m:oMath>
      <w:r>
        <w:t xml:space="preserve"> represents the composite 3-h average diabatic temperature tendency from the CFSR during a particular event type. </w:t>
      </w:r>
      <w:r w:rsidR="00A40603">
        <w:t xml:space="preserve">An inversion of (6) for </w:t>
      </w:r>
      <m:oMath>
        <m:sSub>
          <m:sSubPr>
            <m:ctrlPr>
              <w:rPr>
                <w:rFonts w:ascii="Cambria Math" w:hAnsi="Cambria Math"/>
                <w:i/>
              </w:rPr>
            </m:ctrlPr>
          </m:sSubPr>
          <m:e>
            <m:r>
              <w:rPr>
                <w:rFonts w:ascii="Cambria Math" w:hAnsi="Cambria Math"/>
              </w:rPr>
              <m:t>ω</m:t>
            </m:r>
          </m:e>
          <m:sub>
            <m:r>
              <w:rPr>
                <w:rFonts w:ascii="Cambria Math" w:hAnsi="Cambria Math"/>
              </w:rPr>
              <m:t>d</m:t>
            </m:r>
          </m:sub>
        </m:sSub>
      </m:oMath>
      <w:r w:rsidR="00A40603">
        <w:t xml:space="preserve"> is performed in the same manner as</w:t>
      </w:r>
      <w:r w:rsidR="002524B5">
        <w:t xml:space="preserve"> (5)</w:t>
      </w:r>
      <w:r w:rsidR="00A40603">
        <w:t>, and the sum of the adiabatic and diabatic contributions to the QG vertical motion returns the full QG vertical motion</w:t>
      </w:r>
      <w:r w:rsidR="005A0BA2">
        <w:t xml:space="preserve"> </w:t>
      </w:r>
      <w:r w:rsidR="00CE0FAA">
        <w:t>(</w:t>
      </w:r>
      <m:oMath>
        <m:r>
          <w:rPr>
            <w:rFonts w:ascii="Cambria Math" w:hAnsi="Cambria Math"/>
          </w:rPr>
          <m:t>ω</m:t>
        </m:r>
      </m:oMath>
      <w:r w:rsidR="00CE0FAA">
        <w:t>),</w:t>
      </w:r>
      <w:r w:rsidR="005A0BA2">
        <w:t xml:space="preserve"> such that </w:t>
      </w:r>
      <m:oMath>
        <m:r>
          <w:rPr>
            <w:rFonts w:ascii="Cambria Math" w:hAnsi="Cambria Math"/>
          </w:rPr>
          <m:t>ω=</m:t>
        </m:r>
        <m:sSub>
          <m:sSubPr>
            <m:ctrlPr>
              <w:rPr>
                <w:rFonts w:ascii="Cambria Math" w:hAnsi="Cambria Math"/>
                <w:i/>
              </w:rPr>
            </m:ctrlPr>
          </m:sSubPr>
          <m:e>
            <m:r>
              <w:rPr>
                <w:rFonts w:ascii="Cambria Math" w:hAnsi="Cambria Math"/>
              </w:rPr>
              <m:t>ω</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ω</m:t>
            </m:r>
          </m:e>
          <m:sub>
            <m:r>
              <w:rPr>
                <w:rFonts w:ascii="Cambria Math" w:hAnsi="Cambria Math"/>
              </w:rPr>
              <m:t>d</m:t>
            </m:r>
          </m:sub>
        </m:sSub>
      </m:oMath>
      <w:r w:rsidR="00A40603">
        <w:t>.</w:t>
      </w:r>
    </w:p>
    <w:p w14:paraId="39C23F1B" w14:textId="0F2E0A0A" w:rsidR="001F706A" w:rsidRPr="00636F7F" w:rsidRDefault="008323C1" w:rsidP="00636F7F">
      <w:pPr>
        <w:widowControl w:val="0"/>
        <w:spacing w:line="480" w:lineRule="auto"/>
        <w:ind w:left="360"/>
        <w:rPr>
          <w:i/>
        </w:rPr>
      </w:pPr>
      <w:r w:rsidRPr="008323C1">
        <w:rPr>
          <w:i/>
        </w:rPr>
        <w:t>b</w:t>
      </w:r>
      <w:r w:rsidR="001353FC">
        <w:rPr>
          <w:i/>
        </w:rPr>
        <w:t>.</w:t>
      </w:r>
      <w:r>
        <w:rPr>
          <w:i/>
        </w:rPr>
        <w:t xml:space="preserve"> Vertical motion associated with each category of QGPV </w:t>
      </w:r>
      <w:r w:rsidR="007A3462">
        <w:tab/>
      </w:r>
    </w:p>
    <w:p w14:paraId="3447FCD6" w14:textId="1698A1C2" w:rsidR="00F077A4" w:rsidRDefault="00723F63" w:rsidP="007A3462">
      <w:pPr>
        <w:widowControl w:val="0"/>
        <w:spacing w:line="480" w:lineRule="auto"/>
      </w:pPr>
      <w:r>
        <w:tab/>
      </w:r>
      <w:r w:rsidR="00046345">
        <w:t>T</w:t>
      </w:r>
      <w:r w:rsidR="007A3462">
        <w:t xml:space="preserve">he 500-hPa QG </w:t>
      </w:r>
      <m:oMath>
        <m:r>
          <w:rPr>
            <w:rFonts w:ascii="Cambria Math" w:hAnsi="Cambria Math"/>
          </w:rPr>
          <m:t>ω</m:t>
        </m:r>
      </m:oMath>
      <w:r w:rsidR="007A3462">
        <w:t xml:space="preserve"> </w:t>
      </w:r>
      <w:r w:rsidR="00C64467">
        <w:t>pattern</w:t>
      </w:r>
      <w:r w:rsidR="00794335">
        <w:t>s</w:t>
      </w:r>
      <w:r w:rsidR="00C64467">
        <w:t xml:space="preserve"> </w:t>
      </w:r>
      <w:r w:rsidR="007A3462">
        <w:t>at the time of jet superposition</w:t>
      </w:r>
      <w:r w:rsidR="00E05381">
        <w:t xml:space="preserve"> for polar</w:t>
      </w:r>
      <w:r w:rsidR="00E020A3">
        <w:t xml:space="preserve"> dominant</w:t>
      </w:r>
      <w:r w:rsidR="00E05381">
        <w:t xml:space="preserve">, eastern </w:t>
      </w:r>
      <w:r w:rsidR="00E05381">
        <w:lastRenderedPageBreak/>
        <w:t>subtropical</w:t>
      </w:r>
      <w:r w:rsidR="00E020A3">
        <w:t xml:space="preserve"> dominant</w:t>
      </w:r>
      <w:r w:rsidR="00E05381">
        <w:t>, and western subtropical dominant events</w:t>
      </w:r>
      <w:r w:rsidR="00046345">
        <w:t xml:space="preserve"> </w:t>
      </w:r>
      <w:r w:rsidR="00794335">
        <w:t>are</w:t>
      </w:r>
      <w:r w:rsidR="009F37CF">
        <w:t xml:space="preserve"> shown in</w:t>
      </w:r>
      <w:r w:rsidR="00046345">
        <w:t xml:space="preserve"> Figs. </w:t>
      </w:r>
      <w:r w:rsidR="001D6B66">
        <w:t>6</w:t>
      </w:r>
      <w:r w:rsidR="00046345">
        <w:t xml:space="preserve">a, </w:t>
      </w:r>
      <w:r w:rsidR="001D6B66">
        <w:t>7</w:t>
      </w:r>
      <w:r w:rsidR="00046345">
        <w:t xml:space="preserve">a, and </w:t>
      </w:r>
      <w:r w:rsidR="001D6B66">
        <w:t>8</w:t>
      </w:r>
      <w:r w:rsidR="00046345">
        <w:t>a</w:t>
      </w:r>
      <w:r w:rsidR="001757BB">
        <w:t>,</w:t>
      </w:r>
      <w:r w:rsidR="00E05381">
        <w:t xml:space="preserve"> respectively,</w:t>
      </w:r>
      <w:r w:rsidR="00D71AAD">
        <w:t xml:space="preserve"> and</w:t>
      </w:r>
      <w:r w:rsidR="007A3462">
        <w:t xml:space="preserve"> </w:t>
      </w:r>
      <w:r w:rsidR="00794335">
        <w:t>are</w:t>
      </w:r>
      <w:r w:rsidR="00C13F72">
        <w:t xml:space="preserve"> qualitatively similar to</w:t>
      </w:r>
      <w:r w:rsidR="007A3462">
        <w:t xml:space="preserve"> </w:t>
      </w:r>
      <w:r w:rsidR="00F077A4">
        <w:t>the</w:t>
      </w:r>
      <w:r w:rsidR="007A3462">
        <w:t xml:space="preserve"> composite vertical motion</w:t>
      </w:r>
      <w:r w:rsidR="00CD54EB">
        <w:t xml:space="preserve"> </w:t>
      </w:r>
      <w:r w:rsidR="006C5E34">
        <w:t>patterns</w:t>
      </w:r>
      <w:r w:rsidR="00D71AAD">
        <w:t xml:space="preserve"> </w:t>
      </w:r>
      <w:r w:rsidR="006C5E34">
        <w:t>associated with</w:t>
      </w:r>
      <w:r w:rsidR="00D71AAD">
        <w:t xml:space="preserve"> each event type (</w:t>
      </w:r>
      <w:r w:rsidR="007A3462">
        <w:t xml:space="preserve">Figs. </w:t>
      </w:r>
      <w:r w:rsidR="006449A9">
        <w:t>2</w:t>
      </w:r>
      <w:r w:rsidR="007A3462">
        <w:t>a,c,</w:t>
      </w:r>
      <w:r w:rsidR="00D71AAD">
        <w:t>e)</w:t>
      </w:r>
      <w:r w:rsidR="007A3462">
        <w:t>.</w:t>
      </w:r>
      <w:r w:rsidR="00CD54EB">
        <w:t xml:space="preserve"> </w:t>
      </w:r>
      <w:r w:rsidR="00130266">
        <w:t>Figure</w:t>
      </w:r>
      <w:r w:rsidR="002348C7">
        <w:t>s</w:t>
      </w:r>
      <w:r w:rsidR="00130266">
        <w:t xml:space="preserve"> </w:t>
      </w:r>
      <w:r w:rsidR="00BA2AF4">
        <w:t>6</w:t>
      </w:r>
      <w:r w:rsidR="002348C7">
        <w:t>a–</w:t>
      </w:r>
      <w:r w:rsidR="00B544CF">
        <w:t xml:space="preserve">c reveal that the contribution from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B544CF">
        <w:t xml:space="preserve"> to the 500-hPa</w:t>
      </w:r>
      <w:r w:rsidR="00F077A4">
        <w:t xml:space="preserve"> </w:t>
      </w:r>
      <w:r w:rsidR="00ED5D59">
        <w:t xml:space="preserve">QG </w:t>
      </w:r>
      <m:oMath>
        <m:r>
          <w:rPr>
            <w:rFonts w:ascii="Cambria Math" w:hAnsi="Cambria Math"/>
          </w:rPr>
          <m:t>ω</m:t>
        </m:r>
      </m:oMath>
      <w:r w:rsidR="00F077A4">
        <w:t xml:space="preserve"> </w:t>
      </w:r>
      <w:r w:rsidR="00130266">
        <w:t>pattern during polar dominant events</w:t>
      </w:r>
      <w:r w:rsidR="00B544CF">
        <w:t xml:space="preserve"> is</w:t>
      </w:r>
      <w:r w:rsidR="00BA2AF4">
        <w:t xml:space="preserve"> considerably</w:t>
      </w:r>
      <w:r w:rsidR="00B544CF">
        <w:t xml:space="preserve"> larger than </w:t>
      </w:r>
      <m:oMath>
        <m:sSub>
          <m:sSubPr>
            <m:ctrlPr>
              <w:rPr>
                <w:rFonts w:ascii="Cambria Math" w:hAnsi="Cambria Math"/>
                <w:i/>
              </w:rPr>
            </m:ctrlPr>
          </m:sSubPr>
          <m:e>
            <m:r>
              <w:rPr>
                <w:rFonts w:ascii="Cambria Math" w:hAnsi="Cambria Math"/>
              </w:rPr>
              <m:t>ω</m:t>
            </m:r>
          </m:e>
          <m:sub>
            <m:r>
              <w:rPr>
                <w:rFonts w:ascii="Cambria Math" w:hAnsi="Cambria Math"/>
              </w:rPr>
              <m:t>d</m:t>
            </m:r>
          </m:sub>
        </m:sSub>
      </m:oMath>
      <w:r w:rsidR="00B544CF">
        <w:t xml:space="preserve">. </w:t>
      </w:r>
      <w:r w:rsidR="00533F6C">
        <w:t xml:space="preserve">Therefore, </w:t>
      </w:r>
      <w:r w:rsidR="00B544CF">
        <w:t xml:space="preserve">adiabatic processes </w:t>
      </w:r>
      <w:r w:rsidR="007346D0">
        <w:t xml:space="preserve">account for a majority </w:t>
      </w:r>
      <w:r w:rsidR="00B544CF">
        <w:t>of</w:t>
      </w:r>
      <w:r w:rsidR="0042787D">
        <w:t xml:space="preserve"> the</w:t>
      </w:r>
      <w:r w:rsidR="00BA2AF4">
        <w:t xml:space="preserve"> 500-hPa</w:t>
      </w:r>
      <w:r w:rsidR="00B544CF">
        <w:t xml:space="preserve"> QG </w:t>
      </w:r>
      <m:oMath>
        <m:r>
          <w:rPr>
            <w:rFonts w:ascii="Cambria Math" w:hAnsi="Cambria Math"/>
          </w:rPr>
          <m:t>ω</m:t>
        </m:r>
      </m:oMath>
      <w:r w:rsidR="00B544CF">
        <w:t xml:space="preserve"> </w:t>
      </w:r>
      <w:r w:rsidR="00461C6E">
        <w:t>pattern</w:t>
      </w:r>
      <w:r w:rsidR="004E19C7">
        <w:t xml:space="preserve"> observed</w:t>
      </w:r>
      <w:r w:rsidR="00461C6E">
        <w:t xml:space="preserve"> </w:t>
      </w:r>
      <w:r w:rsidR="00B544CF">
        <w:t>during polar dominant events</w:t>
      </w:r>
      <w:r w:rsidR="009419C2">
        <w:t>. Figures 6b,d further reveal that t</w:t>
      </w:r>
      <w:r w:rsidR="00B544CF">
        <w:t xml:space="preserve">he largest fraction of the 500-hPa QG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B544CF">
        <w:t xml:space="preserve"> pattern</w:t>
      </w:r>
      <w:r w:rsidR="00130266">
        <w:t xml:space="preserve"> </w:t>
      </w:r>
      <w:r w:rsidR="009D7778">
        <w:t>is</w:t>
      </w:r>
      <w:r w:rsidR="00D71AAD">
        <w:t xml:space="preserve"> attributed to </w:t>
      </w:r>
      <w:r w:rsidR="00F077A4">
        <w:t xml:space="preserve">the geostrophic </w:t>
      </w:r>
      <w:r w:rsidR="00D644CE">
        <w:t>wind</w:t>
      </w:r>
      <w:r w:rsidR="00F077A4">
        <w:t xml:space="preserve"> induced by polar cyclonic </w:t>
      </w:r>
      <w:r w:rsidR="00054728">
        <w:t>QG</w:t>
      </w:r>
      <w:r w:rsidR="00F077A4">
        <w:t>PV anomal</w:t>
      </w:r>
      <w:r w:rsidR="00D71AAD">
        <w:t>ies</w:t>
      </w:r>
      <w:r w:rsidR="006404A2">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cyc</m:t>
            </m:r>
          </m:sub>
        </m:sSub>
        <m:r>
          <w:rPr>
            <w:rFonts w:ascii="Cambria Math" w:hAnsi="Cambria Math"/>
          </w:rPr>
          <m:t>)</m:t>
        </m:r>
      </m:oMath>
      <w:r w:rsidR="00F077A4">
        <w:t xml:space="preserve">. </w:t>
      </w:r>
      <w:r w:rsidR="004377C4">
        <w:t xml:space="preserve">A </w:t>
      </w:r>
      <w:r w:rsidR="00F077A4">
        <w:t>minor contribution to the</w:t>
      </w:r>
      <w:r w:rsidR="0042787D">
        <w:t xml:space="preserve"> 500-hPa</w:t>
      </w:r>
      <w:r w:rsidR="00F077A4">
        <w:t xml:space="preserve"> </w:t>
      </w:r>
      <w:r w:rsidR="00A263E3">
        <w:t xml:space="preserve">QG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F077A4">
        <w:t xml:space="preserve"> </w:t>
      </w:r>
      <w:r w:rsidR="00C64467">
        <w:t xml:space="preserve">pattern </w:t>
      </w:r>
      <w:r w:rsidR="004065CB">
        <w:t xml:space="preserve">upstream and downstream of </w:t>
      </w:r>
      <w:r w:rsidR="00F30E64">
        <w:t>polar dominant jet superposition</w:t>
      </w:r>
      <w:r w:rsidR="00C375B6">
        <w:t>s</w:t>
      </w:r>
      <w:r w:rsidR="004065CB">
        <w:t xml:space="preserve"> </w:t>
      </w:r>
      <w:r w:rsidR="004377C4">
        <w:t>is</w:t>
      </w:r>
      <w:r w:rsidR="00F077A4">
        <w:t xml:space="preserve"> </w:t>
      </w:r>
      <w:r w:rsidR="00ED5D59">
        <w:t>associated with</w:t>
      </w:r>
      <w:r w:rsidR="00F077A4">
        <w:t xml:space="preserve"> the geostrophic </w:t>
      </w:r>
      <w:r w:rsidR="00D644CE">
        <w:t>wind</w:t>
      </w:r>
      <w:r w:rsidR="00F077A4">
        <w:t xml:space="preserve"> induced by residual QGPV anomalies</w:t>
      </w:r>
      <w:r w:rsidR="006404A2">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res</m:t>
            </m:r>
          </m:sub>
        </m:sSub>
        <m:r>
          <w:rPr>
            <w:rFonts w:ascii="Cambria Math" w:hAnsi="Cambria Math"/>
          </w:rPr>
          <m:t>)</m:t>
        </m:r>
      </m:oMath>
      <w:r w:rsidR="00F077A4">
        <w:t>.</w:t>
      </w:r>
      <w:r w:rsidR="004377C4">
        <w:t xml:space="preserve"> Th</w:t>
      </w:r>
      <w:r w:rsidR="00D71AAD">
        <w:t>is minor contribution</w:t>
      </w:r>
      <w:r w:rsidR="009E4C47">
        <w:t xml:space="preserve"> from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res</m:t>
            </m:r>
          </m:sub>
        </m:sSub>
      </m:oMath>
      <w:r w:rsidR="007453F0">
        <w:t xml:space="preserve"> </w:t>
      </w:r>
      <w:r w:rsidR="004377C4">
        <w:t>highlights the influence of</w:t>
      </w:r>
      <w:r w:rsidR="008D38A2">
        <w:t xml:space="preserve"> </w:t>
      </w:r>
      <w:r w:rsidR="004377C4">
        <w:t xml:space="preserve">upper-tropospheric ridges </w:t>
      </w:r>
      <w:r w:rsidR="00D71AAD">
        <w:t xml:space="preserve">upstream and downstream of the jet superposition </w:t>
      </w:r>
      <w:r w:rsidR="004377C4">
        <w:t xml:space="preserve">(Fig. </w:t>
      </w:r>
      <w:r w:rsidR="00C375B6">
        <w:t>2</w:t>
      </w:r>
      <w:r w:rsidR="004377C4">
        <w:t xml:space="preserve">a) on </w:t>
      </w:r>
      <w:r w:rsidR="00F45587">
        <w:t>the development of</w:t>
      </w:r>
      <w:r w:rsidR="00031D25">
        <w:t xml:space="preserve"> QG</w:t>
      </w:r>
      <w:r w:rsidR="004377C4">
        <w:t xml:space="preserve"> vertical motion</w:t>
      </w:r>
      <w:r w:rsidR="00F63066">
        <w:t xml:space="preserve"> </w:t>
      </w:r>
      <w:r w:rsidR="004065CB">
        <w:t>with</w:t>
      </w:r>
      <w:r w:rsidR="00F63066">
        <w:t>in the near-jet environment</w:t>
      </w:r>
      <w:r w:rsidR="004377C4">
        <w:t>.</w:t>
      </w:r>
    </w:p>
    <w:p w14:paraId="3099EEDA" w14:textId="5D9A4CF7" w:rsidR="008F3893" w:rsidRDefault="008F3893" w:rsidP="007A3462">
      <w:pPr>
        <w:widowControl w:val="0"/>
        <w:spacing w:line="480" w:lineRule="auto"/>
      </w:pPr>
      <w:r>
        <w:tab/>
      </w:r>
      <w:r w:rsidR="00B62EEC">
        <w:t>T</w:t>
      </w:r>
      <w:r w:rsidR="006B2EFA">
        <w:t xml:space="preserve">he </w:t>
      </w:r>
      <w:r w:rsidR="00684336">
        <w:t>500-hPa</w:t>
      </w:r>
      <w:r>
        <w:t xml:space="preserve"> </w:t>
      </w:r>
      <w:r w:rsidR="00FE7E73">
        <w:t xml:space="preserve">QG </w:t>
      </w:r>
      <m:oMath>
        <m:r>
          <w:rPr>
            <w:rFonts w:ascii="Cambria Math" w:hAnsi="Cambria Math"/>
          </w:rPr>
          <m:t>ω</m:t>
        </m:r>
      </m:oMath>
      <w:r w:rsidR="00E0316B">
        <w:t xml:space="preserve"> </w:t>
      </w:r>
      <w:r w:rsidR="00C64467">
        <w:t xml:space="preserve">pattern </w:t>
      </w:r>
      <w:r w:rsidR="006B2EFA">
        <w:t>during</w:t>
      </w:r>
      <w:r>
        <w:t xml:space="preserve"> eastern subtropical dominant events</w:t>
      </w:r>
      <w:r w:rsidR="00E0316B">
        <w:t xml:space="preserve"> (Fig. </w:t>
      </w:r>
      <w:r w:rsidR="00031D25">
        <w:t>7</w:t>
      </w:r>
      <w:r w:rsidR="00E0316B">
        <w:t>a</w:t>
      </w:r>
      <w:r w:rsidR="00C05707">
        <w:t>)</w:t>
      </w:r>
      <w:r>
        <w:t xml:space="preserve"> </w:t>
      </w:r>
      <w:r w:rsidR="00C05707">
        <w:t>implies</w:t>
      </w:r>
      <w:r>
        <w:t xml:space="preserve"> that</w:t>
      </w:r>
      <w:r w:rsidR="00D62711">
        <w:t xml:space="preserve"> </w:t>
      </w:r>
      <w:r w:rsidR="006602D4">
        <w:t>QG</w:t>
      </w:r>
      <w:r w:rsidR="006B2EFA">
        <w:t xml:space="preserve"> descent</w:t>
      </w:r>
      <w:r w:rsidR="00FE7E73">
        <w:t xml:space="preserve"> </w:t>
      </w:r>
      <w:r w:rsidR="006B2EFA">
        <w:t>upstream of</w:t>
      </w:r>
      <w:r w:rsidR="00C32FCC">
        <w:t xml:space="preserve"> the </w:t>
      </w:r>
      <w:r>
        <w:t xml:space="preserve">jet superposition is </w:t>
      </w:r>
      <w:r w:rsidR="002537EB">
        <w:t xml:space="preserve">predominantly </w:t>
      </w:r>
      <w:r w:rsidR="00CA524B">
        <w:t>associated with</w:t>
      </w:r>
      <w:r w:rsidR="00031D25">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172AB6">
        <w:t xml:space="preserve"> (Figs. 7a–c)</w:t>
      </w:r>
      <w:r w:rsidR="005F25EE">
        <w:t>, and</w:t>
      </w:r>
      <w:r w:rsidR="002537EB">
        <w:t xml:space="preserve"> that the largest fraction of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2537EB">
        <w:t xml:space="preserve"> descent</w:t>
      </w:r>
      <w:r w:rsidR="005F25EE">
        <w:t xml:space="preserve"> is </w:t>
      </w:r>
      <w:r w:rsidR="00DE15DE">
        <w:t>attributed to</w:t>
      </w:r>
      <w:r>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cyc</m:t>
            </m:r>
          </m:sub>
        </m:sSub>
      </m:oMath>
      <w:r w:rsidR="00172AB6">
        <w:rPr>
          <w:b/>
        </w:rPr>
        <w:t xml:space="preserve"> </w:t>
      </w:r>
      <w:r w:rsidR="00172AB6" w:rsidRPr="00172AB6">
        <w:t>(Figs. 7b,d)</w:t>
      </w:r>
      <w:r w:rsidRPr="00172AB6">
        <w:t>.</w:t>
      </w:r>
      <w:r>
        <w:t xml:space="preserve"> </w:t>
      </w:r>
      <w:r w:rsidR="007005D9">
        <w:t>Additional</w:t>
      </w:r>
      <w:r w:rsidR="00C64467">
        <w:t xml:space="preserve"> contributions to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C64467">
        <w:t xml:space="preserve"> descent in the vicinity of </w:t>
      </w:r>
      <w:r w:rsidR="002537EB">
        <w:t>eastern subtropical dominant events</w:t>
      </w:r>
      <w:r w:rsidR="00C64467">
        <w:t xml:space="preserve"> are</w:t>
      </w:r>
      <w:r w:rsidR="005F25EE">
        <w:t xml:space="preserve"> </w:t>
      </w:r>
      <w:r w:rsidR="00C64467">
        <w:t xml:space="preserve">associated with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res</m:t>
            </m:r>
          </m:sub>
        </m:sSub>
      </m:oMath>
      <w:r w:rsidR="00C64467">
        <w:t xml:space="preserve"> and t</w:t>
      </w:r>
      <w:r w:rsidR="00187BD5">
        <w:t xml:space="preserve">he geostrophic </w:t>
      </w:r>
      <w:r w:rsidR="00813E10">
        <w:t>wind</w:t>
      </w:r>
      <w:r w:rsidR="00187BD5">
        <w:t xml:space="preserve"> </w:t>
      </w:r>
      <w:r w:rsidR="006B2EFA">
        <w:t>induced by</w:t>
      </w:r>
      <w:r w:rsidR="00187BD5">
        <w:t xml:space="preserve"> lower-tropospheric</w:t>
      </w:r>
      <w:r w:rsidR="006404A2">
        <w:t xml:space="preserve"> QGPV anomalies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lt</m:t>
            </m:r>
          </m:sub>
        </m:sSub>
        <m:r>
          <w:rPr>
            <w:rFonts w:ascii="Cambria Math" w:hAnsi="Cambria Math"/>
          </w:rPr>
          <m:t>)</m:t>
        </m:r>
      </m:oMath>
      <w:r w:rsidR="006404A2">
        <w:t xml:space="preserve"> </w:t>
      </w:r>
      <w:r w:rsidR="006B2EFA">
        <w:t>(Fig</w:t>
      </w:r>
      <w:r w:rsidR="005F25EE">
        <w:t>s</w:t>
      </w:r>
      <w:r w:rsidR="006B2EFA">
        <w:t xml:space="preserve">. </w:t>
      </w:r>
      <w:r w:rsidR="005F25EE">
        <w:t>7</w:t>
      </w:r>
      <w:r w:rsidR="006B2EFA">
        <w:t>b</w:t>
      </w:r>
      <w:r w:rsidR="005F25EE">
        <w:t>,d</w:t>
      </w:r>
      <w:r w:rsidR="006B2EFA">
        <w:t>)</w:t>
      </w:r>
      <w:r w:rsidR="00E0316B">
        <w:t xml:space="preserve">. </w:t>
      </w:r>
      <w:r w:rsidR="00DC241F">
        <w:t>D</w:t>
      </w:r>
      <w:r w:rsidR="00187BD5">
        <w:t xml:space="preserve">ownstream of the jet superposition, the geostrophic </w:t>
      </w:r>
      <w:r w:rsidR="00813E10">
        <w:t>wind</w:t>
      </w:r>
      <w:r w:rsidR="00187BD5">
        <w:t xml:space="preserve"> induced by </w:t>
      </w:r>
      <w:r w:rsidR="00813E10">
        <w:t>each</w:t>
      </w:r>
      <w:r w:rsidR="00187BD5">
        <w:t xml:space="preserve"> categor</w:t>
      </w:r>
      <w:r w:rsidR="00813E10">
        <w:t>y</w:t>
      </w:r>
      <w:r w:rsidR="00187BD5">
        <w:t xml:space="preserve"> of</w:t>
      </w:r>
      <w:r w:rsidR="00794335">
        <w:t xml:space="preserve"> perturbation</w:t>
      </w:r>
      <w:r w:rsidR="00813E10">
        <w:t xml:space="preserve"> </w:t>
      </w:r>
      <w:r w:rsidR="00187BD5">
        <w:t>QGPV contribute</w:t>
      </w:r>
      <w:r w:rsidR="00813E10">
        <w:t>s</w:t>
      </w:r>
      <w:r w:rsidR="00187BD5">
        <w:t xml:space="preserve"> to varying degrees to</w:t>
      </w:r>
      <w:r w:rsidR="00922071">
        <w:t xml:space="preserve"> a </w:t>
      </w:r>
      <w:r w:rsidR="005F25EE">
        <w:t>broad</w:t>
      </w:r>
      <w:r w:rsidR="00922071">
        <w:t xml:space="preserve"> area of</w:t>
      </w:r>
      <w:r w:rsidR="00187BD5">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187BD5">
        <w:t xml:space="preserve"> ascent</w:t>
      </w:r>
      <w:r w:rsidR="00F63066">
        <w:t xml:space="preserve"> </w:t>
      </w:r>
      <w:r w:rsidR="00187BD5">
        <w:t>over southeastern Canada</w:t>
      </w:r>
      <w:r w:rsidR="00C64467">
        <w:t xml:space="preserve">, with the </w:t>
      </w:r>
      <w:r w:rsidR="006B2EFA">
        <w:t>largest contribution</w:t>
      </w:r>
      <w:r w:rsidR="00B62EEC">
        <w:t xml:space="preserve"> </w:t>
      </w:r>
      <w:r w:rsidR="006B2EFA">
        <w:t>to</w:t>
      </w:r>
      <w:r w:rsidR="006602D4">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r>
          <w:rPr>
            <w:rFonts w:ascii="Cambria Math" w:hAnsi="Cambria Math"/>
          </w:rPr>
          <m:t xml:space="preserve"> </m:t>
        </m:r>
      </m:oMath>
      <w:r w:rsidR="006B2EFA">
        <w:t xml:space="preserve">ascent immediately downstream of </w:t>
      </w:r>
      <w:r w:rsidR="00DC241F">
        <w:t>the</w:t>
      </w:r>
      <w:r w:rsidR="006B2EFA">
        <w:t xml:space="preserve"> jet superposition</w:t>
      </w:r>
      <w:r w:rsidR="00C64467">
        <w:t xml:space="preserve"> </w:t>
      </w:r>
      <w:r w:rsidR="006B2EFA">
        <w:t>associated with</w:t>
      </w:r>
      <w:r w:rsidR="006602D4">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cyc</m:t>
            </m:r>
          </m:sub>
        </m:sSub>
      </m:oMath>
      <w:r w:rsidR="00C64467">
        <w:rPr>
          <w:b/>
        </w:rPr>
        <w:t xml:space="preserve"> </w:t>
      </w:r>
      <w:r w:rsidR="00C64467" w:rsidRPr="00C64467">
        <w:t xml:space="preserve">(Figs. </w:t>
      </w:r>
      <w:r w:rsidR="005F25EE">
        <w:t>7b</w:t>
      </w:r>
      <w:r w:rsidR="00C64467" w:rsidRPr="00C64467">
        <w:t>,</w:t>
      </w:r>
      <w:r w:rsidR="005F25EE">
        <w:t>d</w:t>
      </w:r>
      <w:r w:rsidR="00C64467" w:rsidRPr="00C64467">
        <w:t>)</w:t>
      </w:r>
      <w:r w:rsidR="006602D4" w:rsidRPr="00C64467">
        <w:t>.</w:t>
      </w:r>
      <w:r w:rsidR="005F25EE">
        <w:t xml:space="preserve"> As </w:t>
      </w:r>
      <w:r w:rsidR="00250D13">
        <w:t>for</w:t>
      </w:r>
      <w:r w:rsidR="005F25EE">
        <w:t xml:space="preserve"> polar dominant events,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5F25EE">
        <w:t xml:space="preserve"> </w:t>
      </w:r>
      <w:r w:rsidR="00250D13">
        <w:t xml:space="preserve">accounts for a </w:t>
      </w:r>
      <w:r w:rsidR="00A56959">
        <w:t>larger fraction</w:t>
      </w:r>
      <w:r w:rsidR="00250D13">
        <w:t xml:space="preserve"> of</w:t>
      </w:r>
      <w:r w:rsidR="005F25EE">
        <w:t xml:space="preserve"> QG ascent during eastern subtropical dominant events</w:t>
      </w:r>
      <w:r w:rsidR="00250D13">
        <w:t xml:space="preserve"> compared to </w:t>
      </w:r>
      <m:oMath>
        <m:sSub>
          <m:sSubPr>
            <m:ctrlPr>
              <w:rPr>
                <w:rFonts w:ascii="Cambria Math" w:hAnsi="Cambria Math"/>
                <w:i/>
              </w:rPr>
            </m:ctrlPr>
          </m:sSubPr>
          <m:e>
            <m:r>
              <w:rPr>
                <w:rFonts w:ascii="Cambria Math" w:hAnsi="Cambria Math"/>
              </w:rPr>
              <m:t>ω</m:t>
            </m:r>
          </m:e>
          <m:sub>
            <m:r>
              <w:rPr>
                <w:rFonts w:ascii="Cambria Math" w:hAnsi="Cambria Math"/>
              </w:rPr>
              <m:t>d</m:t>
            </m:r>
          </m:sub>
        </m:sSub>
      </m:oMath>
      <w:r w:rsidR="00547B1F">
        <w:t xml:space="preserve"> (Figs. 7a–c)</w:t>
      </w:r>
      <w:r w:rsidR="00250D13">
        <w:t>.</w:t>
      </w:r>
      <w:r w:rsidR="005F25EE">
        <w:t xml:space="preserve"> </w:t>
      </w:r>
      <w:r w:rsidR="00250D13">
        <w:t>The distribution of</w:t>
      </w:r>
      <w:r w:rsidR="005F25EE">
        <w:t xml:space="preserve"> </w:t>
      </w:r>
      <m:oMath>
        <m:sSub>
          <m:sSubPr>
            <m:ctrlPr>
              <w:rPr>
                <w:rFonts w:ascii="Cambria Math" w:hAnsi="Cambria Math"/>
                <w:i/>
              </w:rPr>
            </m:ctrlPr>
          </m:sSubPr>
          <m:e>
            <m:r>
              <w:rPr>
                <w:rFonts w:ascii="Cambria Math" w:hAnsi="Cambria Math"/>
              </w:rPr>
              <m:t>ω</m:t>
            </m:r>
          </m:e>
          <m:sub>
            <m:r>
              <w:rPr>
                <w:rFonts w:ascii="Cambria Math" w:hAnsi="Cambria Math"/>
              </w:rPr>
              <m:t>d</m:t>
            </m:r>
          </m:sub>
        </m:sSub>
      </m:oMath>
      <w:r w:rsidR="005F25EE">
        <w:t xml:space="preserve"> is nonnegligible</w:t>
      </w:r>
      <w:r w:rsidR="00250D13">
        <w:t>, however,</w:t>
      </w:r>
      <w:r w:rsidR="005F25EE">
        <w:t xml:space="preserve"> and is characterized by a linear band of </w:t>
      </w:r>
      <w:r w:rsidR="005F25EE">
        <w:lastRenderedPageBreak/>
        <w:t>ascent that extends along the east coast of North America</w:t>
      </w:r>
      <w:r w:rsidR="00AC63A3">
        <w:t xml:space="preserve"> on the equatorward side of the jet</w:t>
      </w:r>
      <w:r w:rsidR="000D5E08">
        <w:t xml:space="preserve"> (Fig. 7</w:t>
      </w:r>
      <w:r w:rsidR="00547B1F">
        <w:t>c</w:t>
      </w:r>
      <w:r w:rsidR="000D5E08">
        <w:t>)</w:t>
      </w:r>
      <w:r w:rsidR="005F25EE">
        <w:t>.</w:t>
      </w:r>
    </w:p>
    <w:p w14:paraId="4D68A1A5" w14:textId="6DC018A3" w:rsidR="00DE3647" w:rsidRDefault="00187BD5" w:rsidP="007A3462">
      <w:pPr>
        <w:widowControl w:val="0"/>
        <w:spacing w:line="480" w:lineRule="auto"/>
      </w:pPr>
      <w:r>
        <w:tab/>
      </w:r>
      <w:r w:rsidR="00C32FCC">
        <w:t>The</w:t>
      </w:r>
      <w:r w:rsidR="007068E3">
        <w:t xml:space="preserve"> </w:t>
      </w:r>
      <w:r w:rsidR="00BD611A">
        <w:t>500-hPa</w:t>
      </w:r>
      <w:r w:rsidR="00315D9B">
        <w:t xml:space="preserve"> QG</w:t>
      </w:r>
      <w:r w:rsidR="00C32FCC">
        <w:t xml:space="preserve"> </w:t>
      </w:r>
      <m:oMath>
        <m:r>
          <w:rPr>
            <w:rFonts w:ascii="Cambria Math" w:hAnsi="Cambria Math"/>
          </w:rPr>
          <m:t>ω</m:t>
        </m:r>
      </m:oMath>
      <w:r w:rsidR="00315D9B">
        <w:t xml:space="preserve"> </w:t>
      </w:r>
      <w:r w:rsidR="005E5B2D">
        <w:t>pattern</w:t>
      </w:r>
      <w:r w:rsidR="00C32FCC">
        <w:t xml:space="preserve"> during western subtropical dominant events (Fig</w:t>
      </w:r>
      <w:r w:rsidR="00896C77">
        <w:t>s</w:t>
      </w:r>
      <w:r w:rsidR="007068E3">
        <w:t xml:space="preserve">. </w:t>
      </w:r>
      <w:r w:rsidR="002537EB">
        <w:t>8</w:t>
      </w:r>
      <w:r w:rsidR="007068E3">
        <w:t>a</w:t>
      </w:r>
      <w:r w:rsidR="002537EB">
        <w:t>–c</w:t>
      </w:r>
      <w:r w:rsidR="007068E3">
        <w:t>) is</w:t>
      </w:r>
      <w:r w:rsidR="00497438">
        <w:t xml:space="preserve"> </w:t>
      </w:r>
      <w:r w:rsidR="002537EB">
        <w:t xml:space="preserve">dominated by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2537EB">
        <w:t xml:space="preserve">, with the largest fraction of the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2537EB">
        <w:t xml:space="preserve"> </w:t>
      </w:r>
      <w:r w:rsidR="00F90EE8">
        <w:t>pattern</w:t>
      </w:r>
      <w:r w:rsidR="00C2339C">
        <w:t xml:space="preserve"> </w:t>
      </w:r>
      <w:r w:rsidR="00BD611A">
        <w:t xml:space="preserve">associated with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cyc</m:t>
            </m:r>
          </m:sub>
        </m:sSub>
      </m:oMath>
      <w:r w:rsidR="002537EB">
        <w:rPr>
          <w:b/>
        </w:rPr>
        <w:t xml:space="preserve"> </w:t>
      </w:r>
      <w:r w:rsidR="002537EB" w:rsidRPr="002537EB">
        <w:t>(Fig. 8b,d)</w:t>
      </w:r>
      <w:r w:rsidR="007068E3" w:rsidRPr="002537EB">
        <w:t>.</w:t>
      </w:r>
      <w:r w:rsidR="007068E3">
        <w:t xml:space="preserve"> Therefore</w:t>
      </w:r>
      <w:r w:rsidR="006404A2">
        <w:t xml:space="preserve">, </w:t>
      </w:r>
      <w:r w:rsidR="00B258D9">
        <w:t>polar cyclonic QGPV anomalies are</w:t>
      </w:r>
      <w:r w:rsidR="007068E3">
        <w:t xml:space="preserve"> </w:t>
      </w:r>
      <w:r w:rsidR="00315D9B">
        <w:t>associated with</w:t>
      </w:r>
      <w:r w:rsidR="007068E3">
        <w:t xml:space="preserve"> </w:t>
      </w:r>
      <w:r w:rsidR="00BD611A">
        <w:t>a large</w:t>
      </w:r>
      <w:r w:rsidR="00E57234">
        <w:t xml:space="preserve"> majority</w:t>
      </w:r>
      <w:r w:rsidR="007068E3">
        <w:t xml:space="preserve"> of</w:t>
      </w:r>
      <w:r w:rsidR="00E57234">
        <w:t xml:space="preserve"> the</w:t>
      </w:r>
      <w:r w:rsidR="00F90EE8">
        <w:t xml:space="preserve"> 500-hPa</w:t>
      </w:r>
      <w:r w:rsidR="00497438">
        <w:t xml:space="preserve"> QG</w:t>
      </w:r>
      <w:r w:rsidR="007068E3">
        <w:t xml:space="preserve"> </w:t>
      </w:r>
      <m:oMath>
        <m:r>
          <w:rPr>
            <w:rFonts w:ascii="Cambria Math" w:hAnsi="Cambria Math"/>
          </w:rPr>
          <m:t>ω</m:t>
        </m:r>
      </m:oMath>
      <w:r w:rsidR="00501D21">
        <w:t xml:space="preserve"> </w:t>
      </w:r>
      <w:r w:rsidR="005E5B2D">
        <w:t>pattern</w:t>
      </w:r>
      <w:r w:rsidR="00794335">
        <w:t>s</w:t>
      </w:r>
      <w:r w:rsidR="005E5B2D">
        <w:t xml:space="preserve"> diagnosed</w:t>
      </w:r>
      <w:r w:rsidR="007068E3">
        <w:t xml:space="preserve"> in the</w:t>
      </w:r>
      <w:r w:rsidR="00F640D8">
        <w:t xml:space="preserve"> </w:t>
      </w:r>
      <w:r w:rsidR="007068E3">
        <w:t>vicinity of</w:t>
      </w:r>
      <w:r w:rsidR="00E57234">
        <w:t xml:space="preserve"> </w:t>
      </w:r>
      <w:r w:rsidR="008F6E21">
        <w:t xml:space="preserve">every </w:t>
      </w:r>
      <w:r w:rsidR="007068E3">
        <w:t>jet superposition</w:t>
      </w:r>
      <w:r w:rsidR="00501D21">
        <w:t xml:space="preserve"> </w:t>
      </w:r>
      <w:r w:rsidR="00E57234">
        <w:t>event type</w:t>
      </w:r>
      <w:r w:rsidR="00315D9B">
        <w:t xml:space="preserve">. </w:t>
      </w:r>
      <w:r w:rsidR="00FE78A4">
        <w:t>This observation implies that</w:t>
      </w:r>
      <w:r w:rsidR="00547432">
        <w:t xml:space="preserve"> </w:t>
      </w:r>
      <w:r w:rsidR="00455B86">
        <w:t>the</w:t>
      </w:r>
      <w:r w:rsidR="003F3720">
        <w:t xml:space="preserve"> QG</w:t>
      </w:r>
      <w:r w:rsidR="00547432">
        <w:t xml:space="preserve"> vertical motion induced by</w:t>
      </w:r>
      <w:r w:rsidR="00BD611A">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cyc</m:t>
            </m:r>
          </m:sub>
        </m:sSub>
      </m:oMath>
      <w:r w:rsidR="006404A2">
        <w:t xml:space="preserve"> </w:t>
      </w:r>
      <w:r w:rsidR="00455B86">
        <w:t>is dominant in vertically restructuring the tropopause</w:t>
      </w:r>
      <w:r w:rsidR="00315D9B">
        <w:t xml:space="preserve"> in the vicinity of jet superpositions</w:t>
      </w:r>
      <w:r w:rsidR="005E5B2D">
        <w:t xml:space="preserve"> compared to the </w:t>
      </w:r>
      <w:r w:rsidR="00501D21">
        <w:t>vertical motion</w:t>
      </w:r>
      <w:r w:rsidR="005E5B2D">
        <w:t xml:space="preserve"> associated with </w:t>
      </w:r>
      <w:r w:rsidR="001D77B8">
        <w:t>all</w:t>
      </w:r>
      <w:r w:rsidR="005E5B2D">
        <w:t xml:space="preserve"> other categories of QGPV</w:t>
      </w:r>
      <w:r w:rsidR="007068E3">
        <w:t xml:space="preserve">. </w:t>
      </w:r>
      <w:r w:rsidR="00547432">
        <w:t>As observed during eastern subtropical dominant events, a</w:t>
      </w:r>
      <w:r w:rsidR="00BD611A">
        <w:t xml:space="preserve"> m</w:t>
      </w:r>
      <w:r w:rsidR="007068E3">
        <w:t>inor contribution to</w:t>
      </w:r>
      <w:r w:rsidR="00865DBE">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633F75">
        <w:t xml:space="preserve"> descent</w:t>
      </w:r>
      <w:r w:rsidR="007068E3">
        <w:t xml:space="preserve"> during western subtropical dominant events </w:t>
      </w:r>
      <w:r w:rsidR="00BD611A">
        <w:t>is</w:t>
      </w:r>
      <w:r w:rsidR="007068E3">
        <w:t xml:space="preserve"> </w:t>
      </w:r>
      <w:r w:rsidR="002E1D82">
        <w:t>associated with</w:t>
      </w:r>
      <w:r w:rsidR="007068E3">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lt</m:t>
            </m:r>
          </m:sub>
        </m:sSub>
      </m:oMath>
      <w:r w:rsidR="00547432">
        <w:t xml:space="preserve"> </w:t>
      </w:r>
      <w:r w:rsidR="00FF6DFD">
        <w:t xml:space="preserve">(Figs. </w:t>
      </w:r>
      <w:r w:rsidR="00067DED">
        <w:t>7d</w:t>
      </w:r>
      <w:r w:rsidR="00460C2A">
        <w:t xml:space="preserve"> and</w:t>
      </w:r>
      <w:r w:rsidR="00FF6DFD">
        <w:t xml:space="preserve"> </w:t>
      </w:r>
      <w:r w:rsidR="00067DED">
        <w:t>8d</w:t>
      </w:r>
      <w:r w:rsidR="00FF6DFD">
        <w:t>)</w:t>
      </w:r>
      <w:r w:rsidR="007068E3">
        <w:t>.</w:t>
      </w:r>
      <w:r w:rsidR="00633F75">
        <w:t xml:space="preserve"> </w:t>
      </w:r>
      <w:r w:rsidR="00CA3285">
        <w:t xml:space="preserve">The </w:t>
      </w:r>
      <w:r w:rsidR="00BD611A">
        <w:t>vertical motion associated with</w:t>
      </w:r>
      <w:r w:rsidR="006404A2">
        <w:t xml:space="preserve"> </w:t>
      </w:r>
      <w:r w:rsidR="00547432">
        <w:t>lower-tropospheric QGPV anomalies</w:t>
      </w:r>
      <w:r w:rsidR="006404A2">
        <w:t xml:space="preserve"> </w:t>
      </w:r>
      <w:r w:rsidR="00CA3285">
        <w:t xml:space="preserve">during </w:t>
      </w:r>
      <w:r w:rsidR="001D77B8">
        <w:t>eastern and western</w:t>
      </w:r>
      <w:r w:rsidR="00CA3285">
        <w:t xml:space="preserve"> subtropical dominant event</w:t>
      </w:r>
      <w:r w:rsidR="00603DF6">
        <w:t>s</w:t>
      </w:r>
      <w:r w:rsidR="00CA3285">
        <w:t xml:space="preserve"> </w:t>
      </w:r>
      <w:r w:rsidR="00AB6FB5">
        <w:t xml:space="preserve">is indicative </w:t>
      </w:r>
      <w:r w:rsidR="00633F75">
        <w:t>of the</w:t>
      </w:r>
      <w:r w:rsidR="00AB6FB5">
        <w:t xml:space="preserve"> potential for the</w:t>
      </w:r>
      <w:r w:rsidR="00633F75">
        <w:t xml:space="preserve"> tropospheric-deep circulation</w:t>
      </w:r>
      <w:r w:rsidR="002E1D82">
        <w:t>s</w:t>
      </w:r>
      <w:r w:rsidR="00633F75">
        <w:t xml:space="preserve"> induced by surface cyclones</w:t>
      </w:r>
      <w:r w:rsidR="00455EF5">
        <w:t xml:space="preserve"> (</w:t>
      </w:r>
      <w:r w:rsidR="00067DED">
        <w:t xml:space="preserve">e.g., </w:t>
      </w:r>
      <w:r w:rsidR="00455EF5">
        <w:t>Winters et al. 2020; their Figs. 8i and 11i)</w:t>
      </w:r>
      <w:r w:rsidR="00F40567">
        <w:t xml:space="preserve"> </w:t>
      </w:r>
      <w:r w:rsidR="00AB6FB5">
        <w:t>to</w:t>
      </w:r>
      <w:r w:rsidR="00455EF5">
        <w:t xml:space="preserve"> have a</w:t>
      </w:r>
      <w:r w:rsidR="003A58AF">
        <w:t xml:space="preserve"> relatively</w:t>
      </w:r>
      <w:r w:rsidR="00455EF5">
        <w:t xml:space="preserve"> stronger influence in</w:t>
      </w:r>
      <w:r w:rsidR="00C92418">
        <w:t xml:space="preserve"> vertically</w:t>
      </w:r>
      <w:r w:rsidR="00AB6FB5">
        <w:t xml:space="preserve"> restructur</w:t>
      </w:r>
      <w:r w:rsidR="00455EF5">
        <w:t>ing</w:t>
      </w:r>
      <w:r w:rsidR="005733C9">
        <w:t xml:space="preserve"> the</w:t>
      </w:r>
      <w:r w:rsidR="00633F75">
        <w:t xml:space="preserve"> tropopause</w:t>
      </w:r>
      <w:r w:rsidR="00FF6DFD">
        <w:t xml:space="preserve"> </w:t>
      </w:r>
      <w:r w:rsidR="00455EF5">
        <w:t>during eastern and western subtropical dominant events compared to polar dominant events</w:t>
      </w:r>
      <w:r w:rsidR="00633F75">
        <w:t>.</w:t>
      </w:r>
      <w:r w:rsidR="002E1D82">
        <w:t xml:space="preserve"> QG ascent far downstream of western subtropical dominant jet superpositions</w:t>
      </w:r>
      <w:r w:rsidR="006404A2">
        <w:t xml:space="preserve"> </w:t>
      </w:r>
      <w:r w:rsidR="00501D21">
        <w:t>is associated</w:t>
      </w:r>
      <w:r w:rsidR="002E1D82">
        <w:t xml:space="preserve"> with</w:t>
      </w:r>
      <w:r w:rsidR="00501D21">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res</m:t>
            </m:r>
          </m:sub>
        </m:sSub>
      </m:oMath>
      <w:r w:rsidR="00A45EC7">
        <w:t xml:space="preserve"> (Fig. </w:t>
      </w:r>
      <w:r w:rsidR="00067DED">
        <w:t>8d</w:t>
      </w:r>
      <w:r w:rsidR="00A45EC7">
        <w:t>)</w:t>
      </w:r>
      <w:r w:rsidR="00E66E3C">
        <w:t>,</w:t>
      </w:r>
      <w:r w:rsidR="005E5B2D">
        <w:t xml:space="preserve"> </w:t>
      </w:r>
      <w:r w:rsidR="00501D21">
        <w:t>which</w:t>
      </w:r>
      <w:r w:rsidR="005E5B2D">
        <w:t xml:space="preserve"> highlights</w:t>
      </w:r>
      <w:r w:rsidR="00E66E3C">
        <w:t xml:space="preserve"> the impact of</w:t>
      </w:r>
      <w:r w:rsidR="00A72017">
        <w:t xml:space="preserve"> </w:t>
      </w:r>
      <w:r w:rsidR="00A45EC7">
        <w:t>a</w:t>
      </w:r>
      <w:r w:rsidR="00F40567">
        <w:t xml:space="preserve"> downstream upper-tropospheric</w:t>
      </w:r>
      <w:r w:rsidR="00A72017">
        <w:t xml:space="preserve"> ridge</w:t>
      </w:r>
      <w:r w:rsidR="005E5B2D">
        <w:t xml:space="preserve"> (Fig. </w:t>
      </w:r>
      <w:r w:rsidR="00AA255A">
        <w:t>2</w:t>
      </w:r>
      <w:r w:rsidR="005E5B2D">
        <w:t>e)</w:t>
      </w:r>
      <w:r w:rsidR="00A72017">
        <w:t xml:space="preserve"> </w:t>
      </w:r>
      <w:r w:rsidR="00E66E3C">
        <w:t xml:space="preserve">on </w:t>
      </w:r>
      <w:r w:rsidR="002E1D82">
        <w:t>forcing</w:t>
      </w:r>
      <w:r w:rsidR="00E66E3C">
        <w:t xml:space="preserve"> QG ascent</w:t>
      </w:r>
      <w:r w:rsidR="005E5B2D">
        <w:t xml:space="preserve"> during this event type.</w:t>
      </w:r>
      <w:r w:rsidR="002C4BDE">
        <w:t xml:space="preserve"> </w:t>
      </w:r>
    </w:p>
    <w:p w14:paraId="30D94663" w14:textId="20935FDE" w:rsidR="00187BD5" w:rsidRPr="00E96FE7" w:rsidRDefault="00DE3647" w:rsidP="007A3462">
      <w:pPr>
        <w:widowControl w:val="0"/>
        <w:spacing w:line="480" w:lineRule="auto"/>
      </w:pPr>
      <w:r>
        <w:tab/>
      </w:r>
      <w:r w:rsidR="002C4BDE">
        <w:t xml:space="preserve">Notably, the geostrophic </w:t>
      </w:r>
      <w:r w:rsidR="005E5B2D">
        <w:t>wind</w:t>
      </w:r>
      <w:r w:rsidR="002C4BDE">
        <w:t xml:space="preserve"> induced by tropical anticyclonic QGPV anomalies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ant</m:t>
            </m:r>
          </m:sub>
        </m:sSub>
      </m:oMath>
      <w:r w:rsidR="002C4BDE" w:rsidRPr="00486889">
        <w:t>)</w:t>
      </w:r>
      <w:r w:rsidR="002C4BDE">
        <w:t xml:space="preserve"> </w:t>
      </w:r>
      <w:r w:rsidR="00501D21">
        <w:t>is not associated with a</w:t>
      </w:r>
      <w:r w:rsidR="002C4BDE">
        <w:t xml:space="preserve"> substantial contribution to the</w:t>
      </w:r>
      <w:r w:rsidR="00486889">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486889">
        <w:rPr>
          <w:b/>
        </w:rPr>
        <w:t xml:space="preserve"> </w:t>
      </w:r>
      <w:r w:rsidR="005E5B2D">
        <w:t>pattern</w:t>
      </w:r>
      <w:r w:rsidR="00E03FFC">
        <w:t xml:space="preserve"> during western subtropical dominant events</w:t>
      </w:r>
      <w:r w:rsidR="002E1D82">
        <w:t xml:space="preserve"> (Fig. </w:t>
      </w:r>
      <w:r w:rsidR="001900D7">
        <w:t>8d</w:t>
      </w:r>
      <w:r w:rsidR="002E1D82">
        <w:t xml:space="preserve">), whereas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ant</m:t>
            </m:r>
          </m:sub>
        </m:sSub>
      </m:oMath>
      <w:r w:rsidR="002E1D82">
        <w:rPr>
          <w:b/>
        </w:rPr>
        <w:t xml:space="preserve"> </w:t>
      </w:r>
      <w:r w:rsidR="002E1D82" w:rsidRPr="002E1D82">
        <w:t>is associated with a</w:t>
      </w:r>
      <w:r w:rsidR="002E1D82">
        <w:rPr>
          <w:b/>
        </w:rPr>
        <w:t xml:space="preserve"> </w:t>
      </w:r>
      <w:r w:rsidR="002E1D82">
        <w:t>more substantial contribution to</w:t>
      </w:r>
      <w:r w:rsidR="008B24B4">
        <w:t xml:space="preserve"> the</w:t>
      </w:r>
      <w:r w:rsidR="002E1D82">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8B24B4">
        <w:t xml:space="preserve"> pattern </w:t>
      </w:r>
      <w:r w:rsidR="002E1D82">
        <w:t xml:space="preserve">during eastern subtropical dominant events (Fig. </w:t>
      </w:r>
      <w:r w:rsidR="001900D7">
        <w:t>7d</w:t>
      </w:r>
      <w:r w:rsidR="002E1D82">
        <w:t>)</w:t>
      </w:r>
      <w:r w:rsidR="00486889">
        <w:t>.</w:t>
      </w:r>
      <w:r w:rsidR="00E96FE7">
        <w:t xml:space="preserve"> The larger contribution</w:t>
      </w:r>
      <w:r w:rsidR="007F150D">
        <w:t xml:space="preserve"> to the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7F150D">
        <w:t xml:space="preserve"> pattern </w:t>
      </w:r>
      <w:r w:rsidR="00FC7436">
        <w:t>from</w:t>
      </w:r>
      <w:r w:rsidR="00E96FE7">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ant</m:t>
            </m:r>
          </m:sub>
        </m:sSub>
      </m:oMath>
      <w:r w:rsidR="00E96FE7">
        <w:rPr>
          <w:b/>
        </w:rPr>
        <w:t xml:space="preserve"> </w:t>
      </w:r>
      <w:r w:rsidR="00E96FE7">
        <w:t xml:space="preserve">during eastern subtropical dominant events </w:t>
      </w:r>
      <w:r w:rsidR="00205361">
        <w:t>is</w:t>
      </w:r>
      <w:r w:rsidR="00E96FE7">
        <w:t xml:space="preserve"> attributed to the </w:t>
      </w:r>
      <w:r w:rsidR="007F150D">
        <w:t xml:space="preserve">stronger </w:t>
      </w:r>
      <w:r w:rsidR="007F150D">
        <w:lastRenderedPageBreak/>
        <w:t xml:space="preserve">anticyclonic curvature </w:t>
      </w:r>
      <w:r w:rsidR="00A63C14">
        <w:t>of the</w:t>
      </w:r>
      <w:r w:rsidR="007F150D">
        <w:t xml:space="preserve"> perturbation upper-tropospheric</w:t>
      </w:r>
      <w:r w:rsidR="00A63C14">
        <w:t xml:space="preserve"> ridge that characterizes</w:t>
      </w:r>
      <w:r w:rsidR="007F150D">
        <w:t xml:space="preserve"> eastern subtropical dominant compared to western subtropical dominant events (</w:t>
      </w:r>
      <w:r w:rsidR="00205361">
        <w:t xml:space="preserve">compare </w:t>
      </w:r>
      <w:r w:rsidR="007F150D">
        <w:t>Figs. 2c,e)</w:t>
      </w:r>
      <w:r>
        <w:t>. This stronger anticyclonic curvature</w:t>
      </w:r>
      <w:r w:rsidR="00B57726">
        <w:t xml:space="preserve"> subsequently</w:t>
      </w:r>
      <w:r>
        <w:t xml:space="preserve"> contributes to the zonally oriented couplet of ascent and descent</w:t>
      </w:r>
      <w:r w:rsidR="00B57726">
        <w:t xml:space="preserve"> associated with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ant</m:t>
            </m:r>
          </m:sub>
        </m:sSub>
      </m:oMath>
      <w:r>
        <w:t xml:space="preserve"> that is centered near 50°W during eastern subtropical dominant events (Fig. 7d)</w:t>
      </w:r>
      <w:r w:rsidR="005B7406">
        <w:t>.</w:t>
      </w:r>
    </w:p>
    <w:p w14:paraId="14EC1025" w14:textId="391E48AC" w:rsidR="008323C1" w:rsidRPr="008323C1" w:rsidRDefault="00486889" w:rsidP="008323C1">
      <w:pPr>
        <w:widowControl w:val="0"/>
        <w:spacing w:line="480" w:lineRule="auto"/>
        <w:ind w:left="360"/>
        <w:rPr>
          <w:i/>
        </w:rPr>
      </w:pPr>
      <w:r>
        <w:rPr>
          <w:i/>
        </w:rPr>
        <w:t xml:space="preserve"> </w:t>
      </w:r>
      <w:r w:rsidR="008323C1" w:rsidRPr="008323C1">
        <w:rPr>
          <w:i/>
        </w:rPr>
        <w:t>c</w:t>
      </w:r>
      <w:r w:rsidR="001353FC">
        <w:rPr>
          <w:i/>
        </w:rPr>
        <w:t>.</w:t>
      </w:r>
      <w:r w:rsidR="008323C1">
        <w:rPr>
          <w:i/>
        </w:rPr>
        <w:t xml:space="preserve"> Vertical motion associated with interactions between categories of QGPV</w:t>
      </w:r>
    </w:p>
    <w:p w14:paraId="236CAC4E" w14:textId="726A8725" w:rsidR="00ED5867" w:rsidRDefault="007068E3" w:rsidP="007A3462">
      <w:pPr>
        <w:widowControl w:val="0"/>
        <w:spacing w:line="480" w:lineRule="auto"/>
      </w:pPr>
      <w:r>
        <w:tab/>
      </w:r>
      <w:r w:rsidR="00C85B40">
        <w:t>The</w:t>
      </w:r>
      <w:r w:rsidR="000033EA">
        <w:t xml:space="preserve"> perturbation</w:t>
      </w:r>
      <w:r w:rsidR="00C85B40">
        <w:t xml:space="preserve"> geopotential </w:t>
      </w:r>
      <w:r w:rsidR="00066D47">
        <w:t>(</w:t>
      </w:r>
      <m:oMath>
        <m:sSubSup>
          <m:sSubSupPr>
            <m:ctrlPr>
              <w:rPr>
                <w:rFonts w:ascii="Cambria Math" w:hAnsi="Cambria Math"/>
                <w:i/>
              </w:rPr>
            </m:ctrlPr>
          </m:sSubSupPr>
          <m:e>
            <m:r>
              <w:rPr>
                <w:rFonts w:ascii="Cambria Math" w:hAnsi="Cambria Math"/>
              </w:rPr>
              <m:t>ϕ</m:t>
            </m:r>
          </m:e>
          <m:sub>
            <m:r>
              <w:rPr>
                <w:rFonts w:ascii="Cambria Math" w:hAnsi="Cambria Math"/>
              </w:rPr>
              <m:t>i</m:t>
            </m:r>
          </m:sub>
          <m:sup>
            <m:r>
              <w:rPr>
                <w:rFonts w:ascii="Cambria Math" w:hAnsi="Cambria Math"/>
              </w:rPr>
              <m:t>'</m:t>
            </m:r>
          </m:sup>
        </m:sSubSup>
      </m:oMath>
      <w:r w:rsidR="00066D47">
        <w:t>)</w:t>
      </w:r>
      <w:r w:rsidR="00C85B40">
        <w:t xml:space="preserve"> </w:t>
      </w:r>
      <w:r w:rsidR="00B144D1">
        <w:t>that characterizes</w:t>
      </w:r>
      <w:r w:rsidR="00C85B40">
        <w:t xml:space="preserve"> each category of</w:t>
      </w:r>
      <w:r w:rsidR="003E0776">
        <w:t xml:space="preserve"> perturbation</w:t>
      </w:r>
      <w:r w:rsidR="00C85B40">
        <w:t xml:space="preserve"> QGPV</w:t>
      </w:r>
      <w:r w:rsidR="00BE0FD5">
        <w:t xml:space="preserve"> is </w:t>
      </w:r>
      <w:r w:rsidR="00B144D1">
        <w:t>associated with</w:t>
      </w:r>
      <w:r w:rsidR="00BE0FD5">
        <w:t xml:space="preserve"> a</w:t>
      </w:r>
      <w:r w:rsidR="00DB6043">
        <w:t xml:space="preserve"> perturbation</w:t>
      </w:r>
      <w:r w:rsidR="00BE0FD5">
        <w:t xml:space="preserve"> temperature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oMath>
      <w:r w:rsidR="00BE0FD5">
        <w:t>)</w:t>
      </w:r>
      <w:r w:rsidR="00307D88">
        <w:t xml:space="preserve"> that can be determined</w:t>
      </w:r>
      <w:r w:rsidR="00BE0FD5">
        <w:t xml:space="preserve"> via the</w:t>
      </w:r>
      <w:r w:rsidR="00DE4266">
        <w:t xml:space="preserve"> hydrostatic</w:t>
      </w:r>
      <w:r w:rsidR="00BE0FD5">
        <w:t xml:space="preserve"> relationship</w:t>
      </w:r>
      <w:r w:rsidR="003629D7">
        <w:t xml:space="preserve"> (</w:t>
      </w:r>
      <m:oMath>
        <m:r>
          <w:rPr>
            <w:rFonts w:ascii="Cambria Math" w:hAnsi="Cambria Math"/>
          </w:rPr>
          <m:t>∂</m:t>
        </m:r>
        <m:sSubSup>
          <m:sSubSupPr>
            <m:ctrlPr>
              <w:rPr>
                <w:rFonts w:ascii="Cambria Math" w:hAnsi="Cambria Math"/>
                <w:i/>
              </w:rPr>
            </m:ctrlPr>
          </m:sSubSupPr>
          <m:e>
            <m:r>
              <w:rPr>
                <w:rFonts w:ascii="Cambria Math" w:hAnsi="Cambria Math"/>
              </w:rPr>
              <m:t>ϕ</m:t>
            </m:r>
          </m:e>
          <m:sub>
            <m:r>
              <w:rPr>
                <w:rFonts w:ascii="Cambria Math" w:hAnsi="Cambria Math"/>
              </w:rPr>
              <m:t>i</m:t>
            </m:r>
          </m:sub>
          <m:sup>
            <m:r>
              <w:rPr>
                <w:rFonts w:ascii="Cambria Math" w:hAnsi="Cambria Math"/>
              </w:rPr>
              <m:t>'</m:t>
            </m:r>
          </m:sup>
        </m:sSubSup>
        <m:r>
          <w:rPr>
            <w:rFonts w:ascii="Cambria Math" w:hAnsi="Cambria Math"/>
          </w:rPr>
          <m:t>/∂p=-R</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'/p)</m:t>
        </m:r>
      </m:oMath>
      <w:r w:rsidR="00BE0FD5">
        <w:t xml:space="preserve">, such that </w:t>
      </w:r>
      <m:oMath>
        <m:r>
          <w:rPr>
            <w:rFonts w:ascii="Cambria Math" w:hAnsi="Cambria Math"/>
          </w:rPr>
          <m:t xml:space="preserve">T= </m:t>
        </m:r>
        <m:sSub>
          <m:sSubPr>
            <m:ctrlPr>
              <w:rPr>
                <w:rFonts w:ascii="Cambria Math" w:hAnsi="Cambria Math"/>
                <w:i/>
              </w:rPr>
            </m:ctrlPr>
          </m:sSubPr>
          <m:e>
            <m:r>
              <w:rPr>
                <w:rFonts w:ascii="Cambria Math" w:hAnsi="Cambria Math"/>
              </w:rPr>
              <m:t>T</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e>
        </m:nary>
      </m:oMath>
      <w:r w:rsidR="00BE0FD5">
        <w:t xml:space="preserve"> </w:t>
      </w:r>
      <w:r w:rsidR="00EA4CAF">
        <w:t>.</w:t>
      </w:r>
      <w:r w:rsidR="00BE0FD5">
        <w:t xml:space="preserve"> </w:t>
      </w:r>
      <w:r w:rsidR="00EA4CAF">
        <w:t xml:space="preserve">In the </w:t>
      </w:r>
      <w:r w:rsidR="00897BA6">
        <w:t>latter</w:t>
      </w:r>
      <w:r w:rsidR="00EA4CAF">
        <w:t xml:space="preserve"> equation,</w:t>
      </w: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oMath>
      <w:r w:rsidR="009C61DB">
        <w:t xml:space="preserve"> represents the reference temperature</w:t>
      </w:r>
      <w:r w:rsidR="00FE4D14">
        <w:t xml:space="preserve"> on an isobaric surface</w:t>
      </w:r>
      <w:r w:rsidR="009C61DB">
        <w:t xml:space="preserve"> and</w:t>
      </w:r>
      <w:r w:rsidR="00EA4CAF">
        <w:t xml:space="preserve">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rsidR="00BE0FD5">
        <w:t xml:space="preserve"> </w:t>
      </w:r>
      <w:r w:rsidR="005B1763">
        <w:t>represents</w:t>
      </w:r>
      <w:r w:rsidR="00BE0FD5">
        <w:t xml:space="preserve"> the composite climatological</w:t>
      </w:r>
      <w:r w:rsidR="00F424AA">
        <w:t xml:space="preserve"> mean</w:t>
      </w:r>
      <w:r w:rsidR="00BE0FD5">
        <w:t xml:space="preserve"> temperature</w:t>
      </w:r>
      <w:r w:rsidR="00F138DF">
        <w:t xml:space="preserve"> </w:t>
      </w:r>
      <w:r w:rsidR="00EA4CAF">
        <w:t>on those</w:t>
      </w:r>
      <w:r w:rsidR="005148F2">
        <w:t xml:space="preserve"> calendar</w:t>
      </w:r>
      <w:r w:rsidR="00EA4CAF">
        <w:t xml:space="preserve"> days</w:t>
      </w:r>
      <w:r w:rsidR="00897BA6">
        <w:t xml:space="preserve"> </w:t>
      </w:r>
      <w:r w:rsidR="00EA4CAF">
        <w:t>that feature a jet superposition</w:t>
      </w:r>
      <w:r w:rsidR="009A532D">
        <w:t xml:space="preserve"> </w:t>
      </w:r>
      <w:r w:rsidR="00DE4266">
        <w:t>for</w:t>
      </w:r>
      <w:r w:rsidR="009A532D">
        <w:t xml:space="preserve"> a particular event type</w:t>
      </w:r>
      <w:r w:rsidR="006C1DBD">
        <w:t xml:space="preserve"> after the reference temperature has been removed</w:t>
      </w:r>
      <w:r w:rsidR="00BE0FD5">
        <w:t xml:space="preserve">. The </w:t>
      </w:r>
      <w:r w:rsidR="00CB38F0">
        <w:t xml:space="preserve">geostrophic wind </w:t>
      </w:r>
      <w:r w:rsidR="007775AF">
        <w:t xml:space="preserve">and temperature </w:t>
      </w:r>
      <w:r w:rsidR="00CB38F0">
        <w:t>associated with each category of QGPV</w:t>
      </w:r>
      <w:r w:rsidR="00BE0FD5">
        <w:t xml:space="preserve"> can</w:t>
      </w:r>
      <w:r w:rsidR="00C36D7C">
        <w:t xml:space="preserve"> </w:t>
      </w:r>
      <w:r w:rsidR="00BE0FD5">
        <w:t>be</w:t>
      </w:r>
      <w:r w:rsidR="00505114">
        <w:t xml:space="preserve"> </w:t>
      </w:r>
      <w:r w:rsidR="00BE0FD5">
        <w:t>substituted</w:t>
      </w:r>
      <w:r w:rsidR="00A81CF5">
        <w:t xml:space="preserve"> </w:t>
      </w:r>
      <w:r w:rsidR="004B0943">
        <w:t>in</w:t>
      </w:r>
      <w:r w:rsidR="00881178">
        <w:t>to (4) in</w:t>
      </w:r>
      <w:r w:rsidR="00A81CF5">
        <w:t xml:space="preserve"> a variety</w:t>
      </w:r>
      <w:r w:rsidR="00C36D7C">
        <w:t xml:space="preserve"> of</w:t>
      </w:r>
      <w:r w:rsidR="00A81CF5">
        <w:t xml:space="preserve"> combinations </w:t>
      </w:r>
      <w:r w:rsidR="00C36D7C">
        <w:t xml:space="preserve">to calculate distributions of </w:t>
      </w:r>
      <w:r w:rsidR="00C36D7C" w:rsidRPr="005B32B4">
        <w:rPr>
          <w:b/>
          <w:i/>
        </w:rPr>
        <w:t>Q</w:t>
      </w:r>
      <w:r w:rsidR="00C36D7C">
        <w:t xml:space="preserve"> vectors that result from interactions between the geostrophic </w:t>
      </w:r>
      <w:r w:rsidR="00066D47">
        <w:t>wind</w:t>
      </w:r>
      <w:r w:rsidR="00C36D7C">
        <w:t xml:space="preserve"> induced by a particular category of QGPV and the baroclinicity associated with a</w:t>
      </w:r>
      <w:r w:rsidR="00DC6E75">
        <w:t xml:space="preserve">nother </w:t>
      </w:r>
      <w:r w:rsidR="00C36D7C">
        <w:t>category of QGPV</w:t>
      </w:r>
      <w:r w:rsidR="00CB38F0">
        <w:t xml:space="preserve">. </w:t>
      </w:r>
    </w:p>
    <w:p w14:paraId="7DD9DDCD" w14:textId="209A2DA6" w:rsidR="007A3462" w:rsidRDefault="00ED5867" w:rsidP="007A3462">
      <w:pPr>
        <w:widowControl w:val="0"/>
        <w:spacing w:line="480" w:lineRule="auto"/>
      </w:pPr>
      <w:r>
        <w:tab/>
      </w:r>
      <w:r w:rsidR="00584F2B">
        <w:t>The aforementioned</w:t>
      </w:r>
      <w:r w:rsidR="004E5057">
        <w:t xml:space="preserve"> partition</w:t>
      </w:r>
      <w:r w:rsidR="00505114">
        <w:t xml:space="preserve"> </w:t>
      </w:r>
      <w:r w:rsidR="00367B81">
        <w:t>of</w:t>
      </w:r>
      <w:r w:rsidR="001F23DD">
        <w:t xml:space="preserve"> </w:t>
      </w:r>
      <w:r w:rsidR="004E5057">
        <w:t>the</w:t>
      </w:r>
      <w:r w:rsidR="00367B81">
        <w:t xml:space="preserve"> geopotential and temperature</w:t>
      </w:r>
      <w:r w:rsidR="004E5057">
        <w:t xml:space="preserve"> fields </w:t>
      </w:r>
      <w:r w:rsidR="00285D15">
        <w:t>results in a total of 25</w:t>
      </w:r>
      <w:r w:rsidR="00CB38F0">
        <w:t xml:space="preserve"> possible</w:t>
      </w:r>
      <w:r w:rsidR="00285D15">
        <w:t xml:space="preserve"> interaction terms</w:t>
      </w:r>
      <w:r>
        <w:t>. Namely, there are</w:t>
      </w:r>
      <w:r w:rsidR="00285D15">
        <w:t xml:space="preserve"> </w:t>
      </w:r>
      <w:r w:rsidR="007775AF">
        <w:t>five</w:t>
      </w:r>
      <w:r w:rsidR="00285D15">
        <w:t xml:space="preserve"> geostrophic wind </w:t>
      </w:r>
      <w:r w:rsidR="004B0943">
        <w:t>fields</w:t>
      </w:r>
      <w:r>
        <w:t xml:space="preserve"> </w:t>
      </w:r>
      <w:r w:rsidR="00951BD9">
        <w:t>that correspond to</w:t>
      </w:r>
      <w:r>
        <w:t xml:space="preserve"> the</w:t>
      </w:r>
      <w:r w:rsidR="00285D15">
        <w:t xml:space="preserve"> mean QGPV and the </w:t>
      </w:r>
      <w:r w:rsidR="007775AF">
        <w:t>four</w:t>
      </w:r>
      <w:r w:rsidR="00285D15">
        <w:t xml:space="preserve"> categories of</w:t>
      </w:r>
      <w:r w:rsidR="007775AF">
        <w:t xml:space="preserve"> perturbation</w:t>
      </w:r>
      <w:r w:rsidR="00285D15">
        <w:t xml:space="preserve"> QGPV</w:t>
      </w:r>
      <w:r>
        <w:t xml:space="preserve"> (e.g., the </w:t>
      </w:r>
      <w:r w:rsidR="00374F00">
        <w:t>rows</w:t>
      </w:r>
      <w:r>
        <w:t xml:space="preserve"> in Figs. </w:t>
      </w:r>
      <w:r w:rsidR="00A177C9">
        <w:t>9</w:t>
      </w:r>
      <w:r>
        <w:t xml:space="preserve"> and 1</w:t>
      </w:r>
      <w:r w:rsidR="00A177C9">
        <w:t>0</w:t>
      </w:r>
      <w:r>
        <w:t>)</w:t>
      </w:r>
      <w:r w:rsidR="006E5F63">
        <w:t>,</w:t>
      </w:r>
      <w:r w:rsidR="006C3320">
        <w:t xml:space="preserve"> and</w:t>
      </w:r>
      <w:r w:rsidR="00C65FD8">
        <w:t xml:space="preserve"> </w:t>
      </w:r>
      <w:r w:rsidR="006C3320">
        <w:t>t</w:t>
      </w:r>
      <w:r w:rsidR="00374F00">
        <w:t>hese five geostrophic wind fields can</w:t>
      </w:r>
      <w:r w:rsidR="00C65FD8">
        <w:t xml:space="preserve"> </w:t>
      </w:r>
      <w:r w:rsidR="00374F00">
        <w:t>interact with</w:t>
      </w:r>
      <w:r w:rsidR="00285D15">
        <w:t xml:space="preserve"> </w:t>
      </w:r>
      <w:r w:rsidR="007775AF">
        <w:t>five</w:t>
      </w:r>
      <w:r w:rsidR="00285D15">
        <w:t xml:space="preserve"> temperature </w:t>
      </w:r>
      <w:r w:rsidR="004B0943">
        <w:t>fields</w:t>
      </w:r>
      <w:r w:rsidR="00285D15">
        <w:t xml:space="preserve"> </w:t>
      </w:r>
      <w:r w:rsidR="00951BD9">
        <w:t>that correspond to</w:t>
      </w:r>
      <w:r w:rsidR="00285D15">
        <w:t xml:space="preserve"> the mean QGPV and the </w:t>
      </w:r>
      <w:r w:rsidR="007775AF">
        <w:t>four</w:t>
      </w:r>
      <w:r w:rsidR="00285D15">
        <w:t xml:space="preserve"> categories of</w:t>
      </w:r>
      <w:r w:rsidR="007775AF">
        <w:t xml:space="preserve"> perturbation</w:t>
      </w:r>
      <w:r w:rsidR="00285D15">
        <w:t xml:space="preserve"> QGPV</w:t>
      </w:r>
      <w:r w:rsidR="00374F00">
        <w:t xml:space="preserve"> (e.g., the columns in Figs. </w:t>
      </w:r>
      <w:r w:rsidR="00A177C9">
        <w:t>9</w:t>
      </w:r>
      <w:r w:rsidR="00374F00">
        <w:t xml:space="preserve"> and 1</w:t>
      </w:r>
      <w:r w:rsidR="00A177C9">
        <w:t>0</w:t>
      </w:r>
      <w:r w:rsidR="00374F00">
        <w:t>)</w:t>
      </w:r>
      <w:r w:rsidR="00285D15">
        <w:t xml:space="preserve">. </w:t>
      </w:r>
      <w:r w:rsidR="002567FC">
        <w:t>The</w:t>
      </w:r>
      <w:r w:rsidR="00B02D4C">
        <w:t xml:space="preserve"> divergence of </w:t>
      </w:r>
      <w:r w:rsidR="002567FC" w:rsidRPr="002567FC">
        <w:rPr>
          <w:b/>
          <w:i/>
        </w:rPr>
        <w:t>Q</w:t>
      </w:r>
      <w:r w:rsidR="002567FC">
        <w:t xml:space="preserve"> associated with e</w:t>
      </w:r>
      <w:r w:rsidR="00285D15">
        <w:t>ach interaction term can be</w:t>
      </w:r>
      <w:r w:rsidR="006B299B">
        <w:t xml:space="preserve"> substituted</w:t>
      </w:r>
      <w:r w:rsidR="00D330DB">
        <w:t xml:space="preserve"> </w:t>
      </w:r>
      <w:r w:rsidR="006B299B">
        <w:t>into the right-hand side of (</w:t>
      </w:r>
      <w:r w:rsidR="00CB38F0">
        <w:t>5</w:t>
      </w:r>
      <w:r w:rsidR="006B299B">
        <w:t>) and</w:t>
      </w:r>
      <w:r w:rsidR="00285D15">
        <w:t xml:space="preserve"> inverted to determine the</w:t>
      </w:r>
      <w:r w:rsidR="00885299">
        <w:t xml:space="preserve"> QG</w:t>
      </w:r>
      <w:r w:rsidR="00285D15">
        <w:t xml:space="preserve"> </w:t>
      </w:r>
      <w:r w:rsidR="00C65FD8">
        <w:t>vertical motion</w:t>
      </w:r>
      <w:r w:rsidR="00CB38F0">
        <w:t xml:space="preserve"> </w:t>
      </w:r>
      <w:r w:rsidR="00285D15">
        <w:t xml:space="preserve">associated with </w:t>
      </w:r>
      <w:r w:rsidR="00A8760E">
        <w:lastRenderedPageBreak/>
        <w:t>each</w:t>
      </w:r>
      <w:r w:rsidR="00285D15">
        <w:t xml:space="preserve"> interaction </w:t>
      </w:r>
      <w:r w:rsidR="00A8760E">
        <w:t>term, such that</w:t>
      </w:r>
      <w:r w:rsidR="005148F2">
        <w:t xml:space="preserve"> </w:t>
      </w:r>
      <w:r w:rsidR="00A8760E">
        <w:t>th</w:t>
      </w:r>
      <w:r w:rsidR="00285D15">
        <w:t xml:space="preserve">e </w:t>
      </w:r>
      <w:r w:rsidR="006C3320">
        <w:t xml:space="preserve">QG </w:t>
      </w:r>
      <w:r w:rsidR="00285D15">
        <w:t>vertical motion associated with all 25 interaction terms sum to</w:t>
      </w:r>
      <w:r w:rsidR="002567FC">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285D15">
        <w:t xml:space="preserve"> </w:t>
      </w:r>
      <w:r w:rsidR="005F60EF">
        <w:t>during</w:t>
      </w:r>
      <w:r w:rsidR="00767A8D">
        <w:t xml:space="preserve"> a particular event type (e.g., </w:t>
      </w:r>
      <w:r w:rsidR="003521FE">
        <w:t xml:space="preserve">Figs. </w:t>
      </w:r>
      <w:r w:rsidR="00A177C9">
        <w:t>6b</w:t>
      </w:r>
      <w:r w:rsidR="003521FE">
        <w:t xml:space="preserve">, </w:t>
      </w:r>
      <w:r w:rsidR="00A177C9">
        <w:t>7b</w:t>
      </w:r>
      <w:r w:rsidR="003521FE">
        <w:t xml:space="preserve">, and </w:t>
      </w:r>
      <w:r w:rsidR="00A177C9">
        <w:t>8b</w:t>
      </w:r>
      <w:r w:rsidR="00767A8D">
        <w:t>)</w:t>
      </w:r>
      <w:r w:rsidR="0053066F">
        <w:t>.</w:t>
      </w:r>
      <w:r w:rsidR="004E673D">
        <w:t xml:space="preserve"> </w:t>
      </w:r>
      <w:r w:rsidR="0053066F">
        <w:t>T</w:t>
      </w:r>
      <w:r w:rsidR="004E673D">
        <w:t>he</w:t>
      </w:r>
      <w:r w:rsidR="006C3320">
        <w:t xml:space="preserve"> QG</w:t>
      </w:r>
      <w:r w:rsidR="004E673D">
        <w:t xml:space="preserve"> vertical motion associated with</w:t>
      </w:r>
      <w:r w:rsidR="00663723">
        <w:t xml:space="preserve"> </w:t>
      </w:r>
      <w:r w:rsidR="004E673D">
        <w:t xml:space="preserve">interactions between the geostrophic wind induced by a </w:t>
      </w:r>
      <w:r w:rsidR="00302562">
        <w:t>single</w:t>
      </w:r>
      <w:r w:rsidR="004E673D">
        <w:t xml:space="preserve"> category of QGPV</w:t>
      </w:r>
      <w:r w:rsidR="0053066F">
        <w:t xml:space="preserve"> (e.g.,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cyc</m:t>
            </m:r>
          </m:sub>
        </m:sSub>
      </m:oMath>
      <w:r w:rsidR="0053066F">
        <w:t>)</w:t>
      </w:r>
      <w:r w:rsidR="004E673D">
        <w:t xml:space="preserve"> and all </w:t>
      </w:r>
      <w:r w:rsidR="007775AF">
        <w:t>five</w:t>
      </w:r>
      <w:r w:rsidR="004E673D">
        <w:t xml:space="preserve"> temperature fields</w:t>
      </w:r>
      <w:r w:rsidR="00632228">
        <w:t xml:space="preserve"> during a particular event type</w:t>
      </w:r>
      <w:r w:rsidR="004E673D">
        <w:t xml:space="preserve"> sum to the QG </w:t>
      </w:r>
      <w:r w:rsidR="00C65FD8">
        <w:t xml:space="preserve">vertical motion </w:t>
      </w:r>
      <w:r w:rsidR="004E673D">
        <w:t xml:space="preserve">associated with that </w:t>
      </w:r>
      <w:r w:rsidR="00302562">
        <w:t>geostrophic wind</w:t>
      </w:r>
      <w:r w:rsidR="0086460C">
        <w:t xml:space="preserve"> field</w:t>
      </w:r>
      <w:r w:rsidR="00302562">
        <w:t xml:space="preserve"> </w:t>
      </w:r>
      <w:r w:rsidR="007F1433">
        <w:t xml:space="preserve">in Figs. 6d, 7d, or 8d </w:t>
      </w:r>
      <w:r w:rsidR="00767A8D">
        <w:t xml:space="preserve">(e.g., the blue contours in </w:t>
      </w:r>
      <w:r w:rsidR="004E673D">
        <w:t xml:space="preserve">Figs. </w:t>
      </w:r>
      <w:r w:rsidR="007C5A3A">
        <w:t>6</w:t>
      </w:r>
      <w:r w:rsidR="0053066F">
        <w:t>d</w:t>
      </w:r>
      <w:r w:rsidR="004E673D">
        <w:t xml:space="preserve">, </w:t>
      </w:r>
      <w:r w:rsidR="007C5A3A">
        <w:t>7</w:t>
      </w:r>
      <w:r w:rsidR="0053066F">
        <w:t>d</w:t>
      </w:r>
      <w:r w:rsidR="004E673D">
        <w:t xml:space="preserve">, </w:t>
      </w:r>
      <w:r w:rsidR="00B572E0">
        <w:t>or</w:t>
      </w:r>
      <w:r w:rsidR="004E673D">
        <w:t xml:space="preserve"> </w:t>
      </w:r>
      <w:r w:rsidR="007C5A3A">
        <w:t>8</w:t>
      </w:r>
      <w:r w:rsidR="0053066F">
        <w:t>d</w:t>
      </w:r>
      <w:r w:rsidR="007425EB">
        <w:t xml:space="preserve"> for polar cyclonic QGPV anomalies</w:t>
      </w:r>
      <w:r w:rsidR="00767A8D">
        <w:t>)</w:t>
      </w:r>
      <w:r w:rsidR="004E673D">
        <w:t>.</w:t>
      </w:r>
    </w:p>
    <w:p w14:paraId="2B6E8F3D" w14:textId="43619C6D" w:rsidR="004472FE" w:rsidRDefault="004472FE" w:rsidP="007A3462">
      <w:pPr>
        <w:widowControl w:val="0"/>
        <w:spacing w:line="480" w:lineRule="auto"/>
      </w:pPr>
      <w:r>
        <w:tab/>
      </w:r>
      <w:r w:rsidR="00C11848">
        <w:t>Physically, t</w:t>
      </w:r>
      <w:r w:rsidR="00A031FB">
        <w:t xml:space="preserve">he QG vertical motion </w:t>
      </w:r>
      <w:r w:rsidR="00C7267A">
        <w:t>attributed</w:t>
      </w:r>
      <w:r w:rsidR="00A031FB">
        <w:t xml:space="preserve"> </w:t>
      </w:r>
      <w:r w:rsidR="00C7267A">
        <w:t>to</w:t>
      </w:r>
      <w:r w:rsidR="00A031FB">
        <w:t xml:space="preserve"> each interaction term</w:t>
      </w:r>
      <w:r w:rsidR="00C11848">
        <w:t xml:space="preserve"> </w:t>
      </w:r>
      <w:r w:rsidR="00FF752B">
        <w:t xml:space="preserve">corresponds to </w:t>
      </w:r>
      <w:r w:rsidR="00A031FB">
        <w:t xml:space="preserve">changes in the orientation and magnitude of the horizontal temperature gradient </w:t>
      </w:r>
      <w:r w:rsidR="00C7267A">
        <w:t>associated with</w:t>
      </w:r>
      <w:r w:rsidR="00BC0486">
        <w:t xml:space="preserve"> a</w:t>
      </w:r>
      <w:r w:rsidR="00A031FB">
        <w:t xml:space="preserve"> </w:t>
      </w:r>
      <w:r w:rsidR="00E827E7">
        <w:t>particular</w:t>
      </w:r>
      <w:r w:rsidR="00A031FB">
        <w:t xml:space="preserve"> category of QGPV </w:t>
      </w:r>
      <w:r w:rsidR="00D279FF">
        <w:t xml:space="preserve">that are </w:t>
      </w:r>
      <w:r w:rsidR="00A031FB">
        <w:t xml:space="preserve">accomplished by the geostrophic wind </w:t>
      </w:r>
      <w:r w:rsidR="00C35938">
        <w:t>induced</w:t>
      </w:r>
      <w:r w:rsidR="00A031FB">
        <w:t xml:space="preserve"> </w:t>
      </w:r>
      <w:r w:rsidR="00C35938">
        <w:t>by</w:t>
      </w:r>
      <w:r w:rsidR="00A031FB">
        <w:t xml:space="preserve"> a</w:t>
      </w:r>
      <w:r w:rsidR="00D279FF">
        <w:t xml:space="preserve">nother </w:t>
      </w:r>
      <w:r w:rsidR="00A031FB">
        <w:t xml:space="preserve">category of QGPV. For example, the QG vertical motion </w:t>
      </w:r>
      <w:r w:rsidR="00BE62A4">
        <w:t>attributed to</w:t>
      </w:r>
      <w:r w:rsidR="000900BB">
        <w:t xml:space="preserve"> the</w:t>
      </w:r>
      <w:r w:rsidR="00A031FB">
        <w:t xml:space="preserve"> interaction between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cyc</m:t>
            </m:r>
          </m:sub>
        </m:sSub>
      </m:oMath>
      <w:r w:rsidR="00A031FB">
        <w:rPr>
          <w:b/>
        </w:rPr>
        <w:t xml:space="preserve"> </w:t>
      </w:r>
      <w:r w:rsidR="00A031FB">
        <w:t xml:space="preserve">and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rsidR="00A031FB">
        <w:t xml:space="preserve"> corresponds to changes in the orientation and magnitude of the mean temperature gradient</w:t>
      </w:r>
      <w:r w:rsidR="00D279FF">
        <w:t xml:space="preserve"> that are</w:t>
      </w:r>
      <w:r w:rsidR="00A031FB">
        <w:t xml:space="preserve"> accomplished by the geostrophic wind induced by polar cyclonic QGPV anomalies. Similarly, an interaction between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cyc</m:t>
            </m:r>
          </m:sub>
        </m:sSub>
      </m:oMath>
      <w:r w:rsidR="00A031FB">
        <w:rPr>
          <w:b/>
        </w:rPr>
        <w:t xml:space="preserve"> </w:t>
      </w:r>
      <w:r w:rsidR="00A031FB">
        <w:t xml:space="preserve">and </w:t>
      </w:r>
      <m:oMath>
        <m:sSub>
          <m:sSubPr>
            <m:ctrlPr>
              <w:rPr>
                <w:rFonts w:ascii="Cambria Math" w:hAnsi="Cambria Math"/>
                <w:i/>
              </w:rPr>
            </m:ctrlPr>
          </m:sSubPr>
          <m:e>
            <m:r>
              <w:rPr>
                <w:rFonts w:ascii="Cambria Math" w:hAnsi="Cambria Math"/>
              </w:rPr>
              <m:t>T</m:t>
            </m:r>
          </m:e>
          <m:sub>
            <m:r>
              <w:rPr>
                <w:rFonts w:ascii="Cambria Math" w:hAnsi="Cambria Math"/>
              </w:rPr>
              <m:t>ant</m:t>
            </m:r>
          </m:sub>
        </m:sSub>
      </m:oMath>
      <w:r w:rsidR="00A031FB">
        <w:t xml:space="preserve"> corresponds to changes in the orientation and magnitude of the perturbation temperature gradient </w:t>
      </w:r>
      <w:r w:rsidR="00D279FF">
        <w:t>attributed to</w:t>
      </w:r>
      <w:r w:rsidR="00A031FB">
        <w:t xml:space="preserve"> tropical anticyclonic QGPV anomalies that are accomplished by the geostrophic wind induced by polar cyclonic QGPV anomalies. </w:t>
      </w:r>
      <w:r w:rsidR="00471E6E">
        <w:t>Therefore</w:t>
      </w:r>
      <w:r w:rsidR="00A031FB">
        <w:t>, the forthcoming analysis</w:t>
      </w:r>
      <w:r w:rsidR="0054338D">
        <w:t xml:space="preserve"> expands upon the results presented in section </w:t>
      </w:r>
      <w:r w:rsidR="00C11848">
        <w:t>3</w:t>
      </w:r>
      <w:r w:rsidR="0054338D">
        <w:t>b by</w:t>
      </w:r>
      <w:r w:rsidR="00A031FB">
        <w:t xml:space="preserve"> provid</w:t>
      </w:r>
      <w:r w:rsidR="0054338D">
        <w:t>ing</w:t>
      </w:r>
      <w:r w:rsidR="00A031FB">
        <w:t xml:space="preserve"> a measure of the degree to which interactions between </w:t>
      </w:r>
      <w:r w:rsidR="009732B5">
        <w:t>QGPV</w:t>
      </w:r>
      <w:r w:rsidR="00A031FB">
        <w:t xml:space="preserve"> anomalies contribute to the development QG vertical motion </w:t>
      </w:r>
      <w:r w:rsidR="005D5362">
        <w:t>within</w:t>
      </w:r>
      <w:r w:rsidR="00A031FB">
        <w:t xml:space="preserve"> the near-jet environment.</w:t>
      </w:r>
    </w:p>
    <w:p w14:paraId="41CEC1D1" w14:textId="568428DB" w:rsidR="00010040" w:rsidRDefault="00285D15" w:rsidP="007A3462">
      <w:pPr>
        <w:widowControl w:val="0"/>
        <w:spacing w:line="480" w:lineRule="auto"/>
      </w:pPr>
      <w:r>
        <w:tab/>
      </w:r>
      <w:r w:rsidR="00FD3CF0">
        <w:t xml:space="preserve">Figure </w:t>
      </w:r>
      <w:r w:rsidR="00A43DE0">
        <w:t>9</w:t>
      </w:r>
      <w:r w:rsidR="00FD3CF0">
        <w:t xml:space="preserve"> </w:t>
      </w:r>
      <w:r w:rsidR="00FC4227">
        <w:t>shows</w:t>
      </w:r>
      <w:r w:rsidR="00FD3CF0">
        <w:t xml:space="preserve"> the </w:t>
      </w:r>
      <w:r w:rsidR="00454727">
        <w:t>percentage</w:t>
      </w:r>
      <w:r w:rsidR="00FD3CF0">
        <w:t xml:space="preserve"> of</w:t>
      </w:r>
      <w:r w:rsidR="00010040">
        <w:t xml:space="preserve"> 500-hPa</w:t>
      </w:r>
      <w:r w:rsidR="00F40C36">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FD3CF0">
        <w:t xml:space="preserve"> </w:t>
      </w:r>
      <w:r w:rsidR="00B776CB">
        <w:t>descent</w:t>
      </w:r>
      <w:r w:rsidR="00FD3CF0">
        <w:t xml:space="preserve"> associated with </w:t>
      </w:r>
      <w:r w:rsidR="00B915A1">
        <w:t>all 25</w:t>
      </w:r>
      <w:r w:rsidR="00FD3CF0">
        <w:t xml:space="preserve"> interaction term</w:t>
      </w:r>
      <w:r w:rsidR="00B915A1">
        <w:t>s</w:t>
      </w:r>
      <w:r w:rsidR="00FD3CF0">
        <w:t xml:space="preserve"> at the location of maximum</w:t>
      </w:r>
      <w:r w:rsidR="00F40C36">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F40C36">
        <w:t xml:space="preserve"> </w:t>
      </w:r>
      <w:r w:rsidR="00B776CB">
        <w:t>descent</w:t>
      </w:r>
      <w:r w:rsidR="00FD3CF0">
        <w:t xml:space="preserve"> (red X’s in Figs. </w:t>
      </w:r>
      <w:r w:rsidR="00A43DE0">
        <w:t>6</w:t>
      </w:r>
      <w:r w:rsidR="00FD3CF0">
        <w:t>–</w:t>
      </w:r>
      <w:r w:rsidR="00A43DE0">
        <w:t>8</w:t>
      </w:r>
      <w:r w:rsidR="00FD3CF0">
        <w:t>) during polar</w:t>
      </w:r>
      <w:r w:rsidR="00521967">
        <w:t xml:space="preserve"> dominant</w:t>
      </w:r>
      <w:r w:rsidR="00FD3CF0">
        <w:t>, eastern subtropical</w:t>
      </w:r>
      <w:r w:rsidR="00521967">
        <w:t xml:space="preserve"> dominant</w:t>
      </w:r>
      <w:r w:rsidR="00FD3CF0">
        <w:t>, and western subtropical</w:t>
      </w:r>
      <w:r w:rsidR="008A04AB">
        <w:t xml:space="preserve"> </w:t>
      </w:r>
      <w:r w:rsidR="00FD3CF0">
        <w:t>dominant events.</w:t>
      </w:r>
      <w:r w:rsidR="00010040">
        <w:t xml:space="preserve"> </w:t>
      </w:r>
      <w:r w:rsidR="00B776CB">
        <w:t xml:space="preserve">All percentages shown in Fig. </w:t>
      </w:r>
      <w:r w:rsidR="00A43DE0">
        <w:t>9</w:t>
      </w:r>
      <w:r w:rsidR="00B776CB">
        <w:t xml:space="preserve"> </w:t>
      </w:r>
      <w:r w:rsidR="00F40C36">
        <w:t>are calculated by dividing the</w:t>
      </w:r>
      <w:r w:rsidR="00E6351D">
        <w:t xml:space="preserve"> 500-hPa</w:t>
      </w:r>
      <w:r w:rsidR="00F40C36">
        <w:t xml:space="preserve"> QG </w:t>
      </w:r>
      <w:r w:rsidR="00A43DE0">
        <w:t>vertical motion</w:t>
      </w:r>
      <w:r w:rsidR="00B915A1">
        <w:t xml:space="preserve"> </w:t>
      </w:r>
      <w:r w:rsidR="00F40C36">
        <w:t xml:space="preserve">associated with a particular </w:t>
      </w:r>
      <w:r w:rsidR="00F40C36">
        <w:lastRenderedPageBreak/>
        <w:t>interaction term</w:t>
      </w:r>
      <w:r w:rsidR="00521967">
        <w:t xml:space="preserve"> </w:t>
      </w:r>
      <w:r w:rsidR="00F40C36">
        <w:t xml:space="preserve">by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B776CB">
        <w:t xml:space="preserve"> at the location of the red X in </w:t>
      </w:r>
      <w:r w:rsidR="00FC4227">
        <w:t>its corresponding event type (</w:t>
      </w:r>
      <w:r w:rsidR="007775AF">
        <w:t>i.e.,</w:t>
      </w:r>
      <w:r w:rsidR="00FC4227">
        <w:t xml:space="preserve"> Figs</w:t>
      </w:r>
      <w:r w:rsidR="0012509F">
        <w:t>.</w:t>
      </w:r>
      <w:r w:rsidR="00FC4227">
        <w:t xml:space="preserve"> </w:t>
      </w:r>
      <w:r w:rsidR="00A43DE0">
        <w:t>6</w:t>
      </w:r>
      <w:r w:rsidR="00D17C3F">
        <w:t>b</w:t>
      </w:r>
      <w:r w:rsidR="00FC4227">
        <w:t xml:space="preserve">, </w:t>
      </w:r>
      <w:r w:rsidR="00A43DE0">
        <w:t>7</w:t>
      </w:r>
      <w:r w:rsidR="00D17C3F">
        <w:t>b</w:t>
      </w:r>
      <w:r w:rsidR="00FC4227">
        <w:t xml:space="preserve">, </w:t>
      </w:r>
      <w:r w:rsidR="00A43DE0">
        <w:t>8</w:t>
      </w:r>
      <w:r w:rsidR="00D17C3F">
        <w:t>b</w:t>
      </w:r>
      <w:r w:rsidR="00FC4227">
        <w:t>)</w:t>
      </w:r>
      <w:r w:rsidR="00B776CB">
        <w:t>.</w:t>
      </w:r>
      <w:r w:rsidR="00D16EF2">
        <w:t xml:space="preserve"> This fraction is then multiplied by 100 to </w:t>
      </w:r>
      <w:r w:rsidR="00454727">
        <w:t>determine the percentage of</w:t>
      </w:r>
      <w:r w:rsidR="00A43DE0">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454727">
        <w:t xml:space="preserve"> associated with that particular interaction term.</w:t>
      </w:r>
      <w:r w:rsidR="00010040">
        <w:t xml:space="preserve"> </w:t>
      </w:r>
      <w:r w:rsidR="00B776CB">
        <w:t xml:space="preserve">Consistent with the results discussed in Figs. </w:t>
      </w:r>
      <w:r w:rsidR="00A43DE0">
        <w:t>6</w:t>
      </w:r>
      <w:r w:rsidR="00B776CB">
        <w:t>–</w:t>
      </w:r>
      <w:r w:rsidR="00A43DE0">
        <w:t>8</w:t>
      </w:r>
      <w:r w:rsidR="00BB0754">
        <w:t>,</w:t>
      </w:r>
      <w:r w:rsidR="00B776CB">
        <w:t xml:space="preserve"> Fig. </w:t>
      </w:r>
      <w:r w:rsidR="00A43DE0">
        <w:t>9</w:t>
      </w:r>
      <w:r w:rsidR="00B776CB">
        <w:t xml:space="preserve"> </w:t>
      </w:r>
      <w:r w:rsidR="006D51AB">
        <w:t>indicates</w:t>
      </w:r>
      <w:r w:rsidR="00B776CB">
        <w:t xml:space="preserve"> that the largest </w:t>
      </w:r>
      <w:r w:rsidR="00561B9C">
        <w:t>fraction</w:t>
      </w:r>
      <w:r w:rsidR="00B776CB">
        <w:t xml:space="preserve"> of</w:t>
      </w:r>
      <w:r w:rsidR="00523B47">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B776CB">
        <w:t xml:space="preserve"> descent is associated with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cyc</m:t>
            </m:r>
          </m:sub>
        </m:sSub>
      </m:oMath>
      <w:r w:rsidR="007332C4">
        <w:t xml:space="preserve"> </w:t>
      </w:r>
      <w:r w:rsidR="00DA26C1">
        <w:t>for all event types</w:t>
      </w:r>
      <w:r w:rsidR="00B776CB">
        <w:t xml:space="preserve">. More specifically, Fig. </w:t>
      </w:r>
      <w:r w:rsidR="00A523A8">
        <w:t>9</w:t>
      </w:r>
      <w:r w:rsidR="00B776CB">
        <w:t xml:space="preserve"> </w:t>
      </w:r>
      <w:r w:rsidR="00DA26C1">
        <w:t>reveals</w:t>
      </w:r>
      <w:r w:rsidR="00B776CB">
        <w:t xml:space="preserve"> that the interaction</w:t>
      </w:r>
      <w:r w:rsidR="00E6351D">
        <w:t>s</w:t>
      </w:r>
      <w:r w:rsidR="00B776CB">
        <w:t xml:space="preserve"> between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cyc</m:t>
            </m:r>
          </m:sub>
        </m:sSub>
      </m:oMath>
      <w:r w:rsidR="00273A88">
        <w:t xml:space="preserve"> </w:t>
      </w:r>
      <w:r w:rsidR="00B776CB">
        <w:t xml:space="preserve">and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rsidR="00273A88">
        <w:t>, and</w:t>
      </w:r>
      <w:r w:rsidR="007332C4">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cyc</m:t>
            </m:r>
          </m:sub>
        </m:sSub>
      </m:oMath>
      <w:r w:rsidR="00273A88">
        <w:rPr>
          <w:b/>
        </w:rPr>
        <w:t xml:space="preserve"> </w:t>
      </w:r>
      <w:r w:rsidR="007332C4">
        <w:t xml:space="preserve">and </w:t>
      </w:r>
      <m:oMath>
        <m:sSub>
          <m:sSubPr>
            <m:ctrlPr>
              <w:rPr>
                <w:rFonts w:ascii="Cambria Math" w:hAnsi="Cambria Math"/>
                <w:i/>
              </w:rPr>
            </m:ctrlPr>
          </m:sSubPr>
          <m:e>
            <m:r>
              <w:rPr>
                <w:rFonts w:ascii="Cambria Math" w:hAnsi="Cambria Math"/>
              </w:rPr>
              <m:t>T</m:t>
            </m:r>
          </m:e>
          <m:sub>
            <m:r>
              <w:rPr>
                <w:rFonts w:ascii="Cambria Math" w:hAnsi="Cambria Math"/>
              </w:rPr>
              <m:t>cyc</m:t>
            </m:r>
          </m:sub>
        </m:sSub>
      </m:oMath>
      <w:r w:rsidR="00273A88">
        <w:t>,</w:t>
      </w:r>
      <w:r w:rsidR="007332C4">
        <w:t xml:space="preserve"> </w:t>
      </w:r>
      <w:r w:rsidR="006D51AB">
        <w:t>dominate the production of</w:t>
      </w:r>
      <w:r w:rsidR="00523B47">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523B47">
        <w:t xml:space="preserve"> </w:t>
      </w:r>
      <w:r w:rsidR="00B776CB">
        <w:t>descent</w:t>
      </w:r>
      <w:r w:rsidR="00DA26C1">
        <w:t xml:space="preserve"> </w:t>
      </w:r>
      <w:r w:rsidR="00234558">
        <w:t>across</w:t>
      </w:r>
      <w:r w:rsidR="00B776CB">
        <w:t xml:space="preserve"> all event types.</w:t>
      </w:r>
    </w:p>
    <w:p w14:paraId="0787FBAE" w14:textId="2CA3F569" w:rsidR="00B776CB" w:rsidRDefault="005B72D2" w:rsidP="007A3462">
      <w:pPr>
        <w:widowControl w:val="0"/>
        <w:spacing w:line="480" w:lineRule="auto"/>
      </w:pPr>
      <w:r>
        <w:tab/>
      </w:r>
      <w:r w:rsidR="00DA26C1">
        <w:t>T</w:t>
      </w:r>
      <w:r w:rsidR="00B776CB">
        <w:t>he</w:t>
      </w:r>
      <w:r w:rsidR="00523B47">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B776CB">
        <w:t xml:space="preserve"> descent</w:t>
      </w:r>
      <w:r w:rsidR="006D51AB">
        <w:t xml:space="preserve"> pattern</w:t>
      </w:r>
      <w:r w:rsidR="00DA26C1">
        <w:t xml:space="preserve"> </w:t>
      </w:r>
      <w:r w:rsidR="00B776CB">
        <w:t>during eastern and western subtropical dominant events</w:t>
      </w:r>
      <w:r w:rsidR="00DA26C1">
        <w:t xml:space="preserve"> also</w:t>
      </w:r>
      <w:r w:rsidR="00B776CB">
        <w:t xml:space="preserve"> features a substantial contribution from the interaction between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cyc</m:t>
            </m:r>
          </m:sub>
        </m:sSub>
      </m:oMath>
      <w:r w:rsidR="00B776CB">
        <w:t xml:space="preserve"> and </w:t>
      </w:r>
      <m:oMath>
        <m:sSub>
          <m:sSubPr>
            <m:ctrlPr>
              <w:rPr>
                <w:rFonts w:ascii="Cambria Math" w:hAnsi="Cambria Math"/>
                <w:i/>
              </w:rPr>
            </m:ctrlPr>
          </m:sSubPr>
          <m:e>
            <m:r>
              <w:rPr>
                <w:rFonts w:ascii="Cambria Math" w:hAnsi="Cambria Math"/>
              </w:rPr>
              <m:t>T</m:t>
            </m:r>
          </m:e>
          <m:sub>
            <m:r>
              <w:rPr>
                <w:rFonts w:ascii="Cambria Math" w:hAnsi="Cambria Math"/>
              </w:rPr>
              <m:t>ant</m:t>
            </m:r>
          </m:sub>
        </m:sSub>
      </m:oMath>
      <w:r w:rsidR="00B776CB">
        <w:t xml:space="preserve">. </w:t>
      </w:r>
      <w:r w:rsidR="00F415C5">
        <w:t xml:space="preserve">The </w:t>
      </w:r>
      <w:r w:rsidR="007775AF">
        <w:t>relative importance</w:t>
      </w:r>
      <w:r w:rsidR="00F415C5">
        <w:t xml:space="preserve"> of this</w:t>
      </w:r>
      <w:r w:rsidR="00523B47">
        <w:t xml:space="preserve"> </w:t>
      </w:r>
      <w:r w:rsidR="00DB4CAC">
        <w:t>interaction</w:t>
      </w:r>
      <w:r w:rsidR="00D04912">
        <w:t xml:space="preserve"> term during subtropical dominant events</w:t>
      </w:r>
      <w:r w:rsidR="00B776CB">
        <w:t xml:space="preserve"> is</w:t>
      </w:r>
      <w:r w:rsidR="00D04912">
        <w:t xml:space="preserve"> due to</w:t>
      </w:r>
      <w:r w:rsidR="00B776CB">
        <w:t xml:space="preserve"> the </w:t>
      </w:r>
      <w:r w:rsidR="00F415C5">
        <w:t>larger</w:t>
      </w:r>
      <w:r w:rsidR="00633B4F">
        <w:t xml:space="preserve"> </w:t>
      </w:r>
      <w:r w:rsidR="00C73F06">
        <w:t>magnitude of</w:t>
      </w:r>
      <w:r w:rsidR="00F415C5">
        <w:t xml:space="preserve"> </w:t>
      </w:r>
      <w:r w:rsidR="00AE58FE">
        <w:t>tropical anticyclonic QGPV anomalies</w:t>
      </w:r>
      <w:r w:rsidR="000756F4">
        <w:t xml:space="preserve"> </w:t>
      </w:r>
      <w:r w:rsidR="00B776CB">
        <w:t>during both subtropical dominant event</w:t>
      </w:r>
      <w:r w:rsidR="00AE58FE">
        <w:t xml:space="preserve"> types</w:t>
      </w:r>
      <w:r w:rsidR="00B776CB">
        <w:t xml:space="preserve"> compared to polar dominant events</w:t>
      </w:r>
      <w:r w:rsidR="00C06F5F">
        <w:t xml:space="preserve"> (</w:t>
      </w:r>
      <w:r w:rsidR="00901E41">
        <w:t>i.e.,</w:t>
      </w:r>
      <w:r w:rsidR="00183CCB">
        <w:t xml:space="preserve"> </w:t>
      </w:r>
      <w:r w:rsidR="00502F97">
        <w:t xml:space="preserve">note that </w:t>
      </w:r>
      <w:r w:rsidR="00183CCB">
        <w:t>the magnitude of geopotential height anomalies on the equatorward side of the</w:t>
      </w:r>
      <w:r w:rsidR="007B6C2B">
        <w:t xml:space="preserve"> superposed</w:t>
      </w:r>
      <w:r w:rsidR="00183CCB">
        <w:t xml:space="preserve"> jet in Figs. 2a,c,e is larger for both types of subtropical dominant events compared to polar dominant events</w:t>
      </w:r>
      <w:r w:rsidR="00C06F5F">
        <w:t>)</w:t>
      </w:r>
      <w:r w:rsidR="00AE58FE">
        <w:t xml:space="preserve">. </w:t>
      </w:r>
      <w:r w:rsidR="00183CCB">
        <w:t>Consequently</w:t>
      </w:r>
      <w:r w:rsidR="00AE58FE">
        <w:t>, tropical anticyclonic QGPV anomalies</w:t>
      </w:r>
      <w:r w:rsidR="00DA26C1">
        <w:t xml:space="preserve"> </w:t>
      </w:r>
      <w:r w:rsidR="00C75556">
        <w:t>contribute more</w:t>
      </w:r>
      <w:r w:rsidR="007B6C2B">
        <w:t xml:space="preserve"> substantially</w:t>
      </w:r>
      <w:r w:rsidR="00C60EA2">
        <w:t xml:space="preserve"> during subtropical dominant events compared to polar dominant events</w:t>
      </w:r>
      <w:r w:rsidR="00C75556">
        <w:t xml:space="preserve"> to the </w:t>
      </w:r>
      <w:r w:rsidR="006D51AB">
        <w:t>structure</w:t>
      </w:r>
      <w:r w:rsidR="00BC731C">
        <w:t xml:space="preserve"> of the</w:t>
      </w:r>
      <w:r w:rsidR="007B6C2B">
        <w:t xml:space="preserve"> composite</w:t>
      </w:r>
      <w:r w:rsidR="00C75556">
        <w:t xml:space="preserve"> horizontal </w:t>
      </w:r>
      <w:r w:rsidR="00AF382B">
        <w:t>temperature gradient</w:t>
      </w:r>
      <w:r w:rsidR="00B776CB">
        <w:t>. Fig</w:t>
      </w:r>
      <w:r w:rsidR="007775AF">
        <w:t>ure</w:t>
      </w:r>
      <w:r w:rsidR="00B776CB">
        <w:t xml:space="preserve"> </w:t>
      </w:r>
      <w:r w:rsidR="00485387">
        <w:t>9</w:t>
      </w:r>
      <w:r w:rsidR="006A02B6">
        <w:t xml:space="preserve"> also</w:t>
      </w:r>
      <w:r w:rsidR="00B776CB">
        <w:t xml:space="preserve"> </w:t>
      </w:r>
      <w:r w:rsidR="00A85D11">
        <w:t>identifies</w:t>
      </w:r>
      <w:r w:rsidR="00B776CB">
        <w:t xml:space="preserve"> a nonnegligible contribution</w:t>
      </w:r>
      <w:r w:rsidR="00457C4A">
        <w:t xml:space="preserve"> to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D173A9">
        <w:t xml:space="preserve"> descent</w:t>
      </w:r>
      <w:r w:rsidR="00457C4A">
        <w:t xml:space="preserve"> across all event types</w:t>
      </w:r>
      <w:r w:rsidR="00A85D11">
        <w:t xml:space="preserve"> </w:t>
      </w:r>
      <w:r w:rsidR="00C06F5F">
        <w:t>from</w:t>
      </w:r>
      <w:r w:rsidR="00B776CB">
        <w:t xml:space="preserve"> the interaction between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lt</m:t>
            </m:r>
          </m:sub>
        </m:sSub>
      </m:oMath>
      <w:r w:rsidR="00457C4A">
        <w:t xml:space="preserve"> and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rsidR="00457C4A">
        <w:t xml:space="preserve">. This result </w:t>
      </w:r>
      <w:r w:rsidR="001B2867">
        <w:t>highlights</w:t>
      </w:r>
      <w:r w:rsidR="00457C4A">
        <w:t xml:space="preserve"> the influence </w:t>
      </w:r>
      <w:r w:rsidR="00487FF2">
        <w:t>of</w:t>
      </w:r>
      <w:r w:rsidR="00457C4A">
        <w:t xml:space="preserve"> surface cyclones</w:t>
      </w:r>
      <w:r w:rsidR="00485387">
        <w:t xml:space="preserve"> (e.g., Winters et al. 2020; their Figs. 5i, 8i, and 11i)</w:t>
      </w:r>
      <w:r w:rsidR="00457C4A">
        <w:t xml:space="preserve"> on </w:t>
      </w:r>
      <w:r w:rsidR="00487FF2">
        <w:t>the structure of</w:t>
      </w:r>
      <w:r w:rsidR="00457C4A">
        <w:t xml:space="preserve"> the</w:t>
      </w:r>
      <w:r w:rsidR="00542E22">
        <w:t xml:space="preserve"> mean</w:t>
      </w:r>
      <w:r w:rsidR="00712960">
        <w:t xml:space="preserve"> </w:t>
      </w:r>
      <w:r w:rsidR="00457C4A">
        <w:t>upper-tropospheric flow pattern</w:t>
      </w:r>
      <w:r w:rsidR="00BC3F81">
        <w:t xml:space="preserve"> (e.g., Hoskins et al. 1985</w:t>
      </w:r>
      <w:r w:rsidR="007775AF">
        <w:t>, pp 928–930</w:t>
      </w:r>
      <w:r w:rsidR="00BC3F81">
        <w:t>; Davis and Emanuel 1991; Davis 1992a; Niels</w:t>
      </w:r>
      <w:r w:rsidR="00A6415C">
        <w:t>e</w:t>
      </w:r>
      <w:r w:rsidR="00BC3F81">
        <w:t>n-Gammon and Lefevre 1996; Winters and Martin 2017)</w:t>
      </w:r>
      <w:r w:rsidR="003D13B1">
        <w:t>.</w:t>
      </w:r>
    </w:p>
    <w:p w14:paraId="7521E97B" w14:textId="326489D5" w:rsidR="00063648" w:rsidRDefault="00063648" w:rsidP="007A3462">
      <w:pPr>
        <w:widowControl w:val="0"/>
        <w:spacing w:line="480" w:lineRule="auto"/>
      </w:pPr>
      <w:r>
        <w:tab/>
      </w:r>
      <w:r w:rsidR="00B77C42">
        <w:t>T</w:t>
      </w:r>
      <w:r w:rsidR="00D16F0A">
        <w:t xml:space="preserve">he </w:t>
      </w:r>
      <w:r w:rsidR="003E3D2B">
        <w:t>fraction of</w:t>
      </w:r>
      <w:r w:rsidR="00C9065E">
        <w:t xml:space="preserve"> 500-hPa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3E3D2B">
        <w:t xml:space="preserve"> ascent</w:t>
      </w:r>
      <w:r w:rsidR="00D16F0A">
        <w:t xml:space="preserve"> </w:t>
      </w:r>
      <w:r w:rsidR="00EE1D24">
        <w:t>attributed to</w:t>
      </w:r>
      <w:r w:rsidR="00D16F0A">
        <w:t xml:space="preserve"> each interaction term at the location of maximum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D16F0A">
        <w:t xml:space="preserve"> ascent (orange X’s</w:t>
      </w:r>
      <w:r w:rsidR="00B77C42">
        <w:t xml:space="preserve"> in Figs. </w:t>
      </w:r>
      <w:r w:rsidR="00485387">
        <w:t>6</w:t>
      </w:r>
      <w:r w:rsidR="00AB7962">
        <w:t>b</w:t>
      </w:r>
      <w:r w:rsidR="00B77C42">
        <w:t xml:space="preserve">, </w:t>
      </w:r>
      <w:r w:rsidR="00485387">
        <w:t>7</w:t>
      </w:r>
      <w:r w:rsidR="00AB7962">
        <w:t>b</w:t>
      </w:r>
      <w:r w:rsidR="00B77C42">
        <w:t xml:space="preserve">, and </w:t>
      </w:r>
      <w:r w:rsidR="00485387">
        <w:t>8</w:t>
      </w:r>
      <w:r w:rsidR="00AB7962">
        <w:t>b</w:t>
      </w:r>
      <w:r w:rsidR="00B77C42">
        <w:t xml:space="preserve">) is </w:t>
      </w:r>
      <w:r w:rsidR="0099016D">
        <w:t>shown</w:t>
      </w:r>
      <w:r w:rsidR="00B77C42">
        <w:t xml:space="preserve"> in Fig. 1</w:t>
      </w:r>
      <w:r w:rsidR="00383F05">
        <w:t>0</w:t>
      </w:r>
      <w:r w:rsidR="003E3D2B">
        <w:t xml:space="preserve"> for each event type</w:t>
      </w:r>
      <w:r w:rsidR="00B77C42">
        <w:t xml:space="preserve">. </w:t>
      </w:r>
      <w:r w:rsidR="00066FB5">
        <w:t>During</w:t>
      </w:r>
      <w:r w:rsidR="00B77C42">
        <w:t xml:space="preserve"> polar dominant events, the largest fraction of</w:t>
      </w:r>
      <w:r w:rsidR="00997822">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B77C42">
        <w:t xml:space="preserve"> ascent downstream of the jet </w:t>
      </w:r>
      <w:r w:rsidR="00B77C42">
        <w:lastRenderedPageBreak/>
        <w:t xml:space="preserve">superposition </w:t>
      </w:r>
      <w:r w:rsidR="00066FB5">
        <w:t>is associated with</w:t>
      </w:r>
      <w:r w:rsidR="00B77C42">
        <w:t xml:space="preserve"> interaction</w:t>
      </w:r>
      <w:r w:rsidR="00C9065E">
        <w:t>s</w:t>
      </w:r>
      <w:r w:rsidR="00B77C42">
        <w:t xml:space="preserve"> between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cyc</m:t>
            </m:r>
          </m:sub>
        </m:sSub>
      </m:oMath>
      <w:r w:rsidR="00B77C42">
        <w:t xml:space="preserve"> and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rsidR="00D65637">
        <w:t xml:space="preserve">, and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cyc</m:t>
            </m:r>
          </m:sub>
        </m:sSub>
      </m:oMath>
      <w:r w:rsidR="00D65637">
        <w:rPr>
          <w:b/>
        </w:rPr>
        <w:t xml:space="preserve"> </w:t>
      </w:r>
      <w:r w:rsidR="005B365B" w:rsidRPr="005B365B">
        <w:t xml:space="preserve">and </w:t>
      </w:r>
      <m:oMath>
        <m:sSub>
          <m:sSubPr>
            <m:ctrlPr>
              <w:rPr>
                <w:rFonts w:ascii="Cambria Math" w:hAnsi="Cambria Math"/>
                <w:i/>
              </w:rPr>
            </m:ctrlPr>
          </m:sSubPr>
          <m:e>
            <m:r>
              <w:rPr>
                <w:rFonts w:ascii="Cambria Math" w:hAnsi="Cambria Math"/>
              </w:rPr>
              <m:t>T</m:t>
            </m:r>
          </m:e>
          <m:sub>
            <m:r>
              <w:rPr>
                <w:rFonts w:ascii="Cambria Math" w:hAnsi="Cambria Math"/>
              </w:rPr>
              <m:t>cyc</m:t>
            </m:r>
          </m:sub>
        </m:sSub>
      </m:oMath>
      <w:r w:rsidR="00B77C42">
        <w:t xml:space="preserve">. This result is </w:t>
      </w:r>
      <w:r w:rsidR="00991490">
        <w:t>analogous</w:t>
      </w:r>
      <w:r w:rsidR="00B77C42">
        <w:t xml:space="preserve"> to that found for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991490">
        <w:t xml:space="preserve"> </w:t>
      </w:r>
      <w:r w:rsidR="00B77C42">
        <w:t>descent</w:t>
      </w:r>
      <w:r w:rsidR="00991490">
        <w:t xml:space="preserve"> during polar dominant events</w:t>
      </w:r>
      <w:r w:rsidR="00B77C42">
        <w:t xml:space="preserve"> </w:t>
      </w:r>
      <w:r w:rsidR="00057E2D">
        <w:t>(</w:t>
      </w:r>
      <w:r w:rsidR="00B77C42">
        <w:t xml:space="preserve">Fig. </w:t>
      </w:r>
      <w:r w:rsidR="00383F05">
        <w:t>9</w:t>
      </w:r>
      <w:r w:rsidR="00057E2D">
        <w:t>)</w:t>
      </w:r>
      <w:r w:rsidR="009E72AA">
        <w:t xml:space="preserve">, and </w:t>
      </w:r>
      <w:r w:rsidR="004C3F9A">
        <w:t>solidifies the observation</w:t>
      </w:r>
      <w:r w:rsidR="009E72AA">
        <w:t xml:space="preserve"> that the </w:t>
      </w:r>
      <w:r w:rsidR="00291FDE">
        <w:t xml:space="preserve">QG </w:t>
      </w:r>
      <w:r w:rsidR="00383F05">
        <w:t>vertical motion</w:t>
      </w:r>
      <w:r w:rsidR="00291FDE">
        <w:t xml:space="preserve"> </w:t>
      </w:r>
      <w:r w:rsidR="00B53159">
        <w:t xml:space="preserve">pattern </w:t>
      </w:r>
      <w:r w:rsidR="009E72AA">
        <w:t xml:space="preserve">during polar dominant events is </w:t>
      </w:r>
      <w:r w:rsidR="003E3D2B">
        <w:t>predominantly</w:t>
      </w:r>
      <w:r w:rsidR="00B53159">
        <w:t xml:space="preserve"> </w:t>
      </w:r>
      <w:r w:rsidR="00C90AF0">
        <w:t>fostered</w:t>
      </w:r>
      <w:r w:rsidR="009E72AA">
        <w:t xml:space="preserve"> by the presence of a</w:t>
      </w:r>
      <w:r w:rsidR="005B365B">
        <w:t xml:space="preserve"> strong</w:t>
      </w:r>
      <w:r w:rsidR="009E72AA">
        <w:t xml:space="preserve"> polar cyclonic </w:t>
      </w:r>
      <w:r w:rsidR="005B365B">
        <w:t>QG</w:t>
      </w:r>
      <w:r w:rsidR="009E72AA">
        <w:t>PV anomaly</w:t>
      </w:r>
      <w:r w:rsidR="00C90AF0">
        <w:t xml:space="preserve"> on the poleward side of the jet</w:t>
      </w:r>
      <w:r w:rsidR="00F53124">
        <w:t xml:space="preserve"> and its attendant baroclinicity</w:t>
      </w:r>
      <w:r w:rsidR="00B77C42">
        <w:t>.</w:t>
      </w:r>
    </w:p>
    <w:p w14:paraId="7A392D98" w14:textId="5BAB9FE6" w:rsidR="00B77C42" w:rsidRDefault="00B77C42" w:rsidP="007A3462">
      <w:pPr>
        <w:widowControl w:val="0"/>
        <w:spacing w:line="480" w:lineRule="auto"/>
      </w:pPr>
      <w:r>
        <w:tab/>
      </w:r>
      <w:r w:rsidR="002A78A6">
        <w:t>The location of maximum</w:t>
      </w:r>
      <w:r w:rsidR="00511D25">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2A78A6">
        <w:t xml:space="preserve"> ascent during eastern subtropical dominant events is displaced farther downstream of the location of</w:t>
      </w:r>
      <w:r w:rsidR="00E4325C">
        <w:t xml:space="preserve"> jet</w:t>
      </w:r>
      <w:r w:rsidR="002A78A6">
        <w:t xml:space="preserve"> superposition </w:t>
      </w:r>
      <w:r w:rsidR="00CA3A53">
        <w:t>compared to</w:t>
      </w:r>
      <w:r w:rsidR="002A78A6">
        <w:t xml:space="preserve"> polar dominant events</w:t>
      </w:r>
      <w:r w:rsidR="00F936ED">
        <w:t xml:space="preserve"> (</w:t>
      </w:r>
      <w:r w:rsidR="00696144">
        <w:t xml:space="preserve">compare Fig. </w:t>
      </w:r>
      <w:r w:rsidR="00B9033A">
        <w:t>7b</w:t>
      </w:r>
      <w:r w:rsidR="00696144">
        <w:t xml:space="preserve"> with Fig. </w:t>
      </w:r>
      <w:r w:rsidR="00B9033A">
        <w:t>6b</w:t>
      </w:r>
      <w:r w:rsidR="00F936ED">
        <w:t>)</w:t>
      </w:r>
      <w:r w:rsidR="002A78A6">
        <w:t>. Consequently, the contribution</w:t>
      </w:r>
      <w:r w:rsidR="00C52960">
        <w:t xml:space="preserve"> to</w:t>
      </w:r>
      <w:r w:rsidR="009F3E52">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C52960">
        <w:t xml:space="preserve"> ascent</w:t>
      </w:r>
      <w:r w:rsidR="002A78A6">
        <w:t xml:space="preserve"> from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cyc</m:t>
            </m:r>
          </m:sub>
        </m:sSub>
      </m:oMath>
      <w:r w:rsidR="00E4325C">
        <w:rPr>
          <w:b/>
        </w:rPr>
        <w:t xml:space="preserve"> </w:t>
      </w:r>
      <w:r w:rsidR="002A78A6">
        <w:t xml:space="preserve">is minimal </w:t>
      </w:r>
      <w:r w:rsidR="00202FFF">
        <w:t xml:space="preserve">at </w:t>
      </w:r>
      <w:r w:rsidR="00EF5AD5">
        <w:t>this location</w:t>
      </w:r>
      <w:r w:rsidR="002A567A">
        <w:t xml:space="preserve"> for eastern subtropical dominant events</w:t>
      </w:r>
      <w:r w:rsidR="002A78A6">
        <w:t xml:space="preserve"> </w:t>
      </w:r>
      <w:r w:rsidR="00F936ED">
        <w:t>(Fig. 1</w:t>
      </w:r>
      <w:r w:rsidR="00B9033A">
        <w:t>0</w:t>
      </w:r>
      <w:r w:rsidR="00F936ED">
        <w:t>)</w:t>
      </w:r>
      <w:r w:rsidR="002A78A6">
        <w:t xml:space="preserve">. </w:t>
      </w:r>
      <w:r w:rsidR="00C52960">
        <w:t>The selection of a grid</w:t>
      </w:r>
      <w:r w:rsidR="002A567A">
        <w:t xml:space="preserve"> </w:t>
      </w:r>
      <w:r w:rsidR="002A78A6">
        <w:t>point closer to the location of jet superposition during eastern subtropical dominant events</w:t>
      </w:r>
      <w:r w:rsidR="00EE7C7B">
        <w:t>, however,</w:t>
      </w:r>
      <w:r w:rsidR="002A567A">
        <w:t xml:space="preserve"> </w:t>
      </w:r>
      <w:r w:rsidR="000B276F">
        <w:t>reveals</w:t>
      </w:r>
      <w:r w:rsidR="002A78A6">
        <w:t xml:space="preserve"> </w:t>
      </w:r>
      <w:r w:rsidR="00C52960">
        <w:t xml:space="preserve">that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cyc</m:t>
            </m:r>
          </m:sub>
        </m:sSub>
      </m:oMath>
      <w:r w:rsidR="00C52960">
        <w:t xml:space="preserve"> dominates the production of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14116F">
        <w:t xml:space="preserve"> </w:t>
      </w:r>
      <w:r w:rsidR="00C52960">
        <w:t xml:space="preserve">ascent in </w:t>
      </w:r>
      <w:r w:rsidR="00EF5AD5">
        <w:t>the immediate vicinity of the jet superposition</w:t>
      </w:r>
      <w:r w:rsidR="005C4A37">
        <w:t xml:space="preserve"> (</w:t>
      </w:r>
      <w:r w:rsidR="00C609EC">
        <w:t>not shown</w:t>
      </w:r>
      <w:r w:rsidR="005C4A37">
        <w:t>)</w:t>
      </w:r>
      <w:r w:rsidR="002A78A6">
        <w:t>. Nevertheless, Fig. 1</w:t>
      </w:r>
      <w:r w:rsidR="0014116F">
        <w:t>0</w:t>
      </w:r>
      <w:r w:rsidR="00C52960">
        <w:t xml:space="preserve"> demonstrates </w:t>
      </w:r>
      <w:r w:rsidR="002A78A6">
        <w:t>that</w:t>
      </w:r>
      <w:r w:rsidR="00403FCF">
        <w:t xml:space="preserve"> in locations farther downstream of the jet superposition,</w:t>
      </w:r>
      <w:r w:rsidR="002A78A6">
        <w:t xml:space="preserve"> </w:t>
      </w:r>
      <w:r w:rsidR="00765903">
        <w:t>the</w:t>
      </w:r>
      <w:r w:rsidR="002A78A6">
        <w:t xml:space="preserve"> large</w:t>
      </w:r>
      <w:r w:rsidR="00765903">
        <w:t>st</w:t>
      </w:r>
      <w:r w:rsidR="002A78A6">
        <w:t xml:space="preserve"> fraction of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2A78A6">
        <w:t xml:space="preserve"> ascent</w:t>
      </w:r>
      <w:r w:rsidR="00C52960">
        <w:t xml:space="preserve"> </w:t>
      </w:r>
      <w:r w:rsidR="002A78A6">
        <w:t>is associated with</w:t>
      </w:r>
      <w:r w:rsidR="005C4A37">
        <w:t xml:space="preserve"> the</w:t>
      </w:r>
      <w:r w:rsidR="005D284A">
        <w:t xml:space="preserve"> interactions between</w:t>
      </w:r>
      <w:r w:rsidR="00E4325C">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ant</m:t>
            </m:r>
          </m:sub>
        </m:sSub>
      </m:oMath>
      <w:r w:rsidR="005D284A">
        <w:rPr>
          <w:b/>
        </w:rPr>
        <w:t xml:space="preserve"> </w:t>
      </w:r>
      <w:r w:rsidR="005D284A" w:rsidRPr="005D284A">
        <w:t>and</w:t>
      </w:r>
      <w:r w:rsidR="005D284A">
        <w:rPr>
          <w:b/>
        </w:rPr>
        <w:t xml:space="preserve">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rsidR="002A78A6">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lt</m:t>
            </m:r>
          </m:sub>
        </m:sSub>
      </m:oMath>
      <w:r w:rsidR="005D284A">
        <w:rPr>
          <w:b/>
        </w:rPr>
        <w:t xml:space="preserve"> </w:t>
      </w:r>
      <w:r w:rsidR="005D284A" w:rsidRPr="005D284A">
        <w:t>and</w:t>
      </w:r>
      <w:r w:rsidR="005D284A">
        <w:rPr>
          <w:b/>
        </w:rPr>
        <w:t xml:space="preserve">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rsidR="002A78A6">
        <w:t xml:space="preserve">, and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res</m:t>
            </m:r>
          </m:sub>
        </m:sSub>
      </m:oMath>
      <w:r w:rsidR="005D284A">
        <w:rPr>
          <w:b/>
        </w:rPr>
        <w:t xml:space="preserve"> </w:t>
      </w:r>
      <w:r w:rsidR="005D284A" w:rsidRPr="005D284A">
        <w:t>and</w:t>
      </w:r>
      <w:r w:rsidR="005D284A">
        <w:rPr>
          <w:b/>
        </w:rPr>
        <w:t xml:space="preserve">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rsidR="00BC6231">
        <w:t xml:space="preserve">. </w:t>
      </w:r>
      <w:r w:rsidR="00BF2815">
        <w:t>The interaction</w:t>
      </w:r>
      <w:r w:rsidR="000F4BA9">
        <w:t xml:space="preserve">s between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ant</m:t>
            </m:r>
          </m:sub>
        </m:sSub>
      </m:oMath>
      <w:r w:rsidR="000F4BA9">
        <w:rPr>
          <w:b/>
        </w:rPr>
        <w:t xml:space="preserve"> </w:t>
      </w:r>
      <w:r w:rsidR="000F4BA9" w:rsidRPr="005D284A">
        <w:t>and</w:t>
      </w:r>
      <w:r w:rsidR="000F4BA9">
        <w:rPr>
          <w:b/>
        </w:rPr>
        <w:t xml:space="preserve">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rsidR="000F4BA9">
        <w:t xml:space="preserve">, and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res</m:t>
            </m:r>
          </m:sub>
        </m:sSub>
      </m:oMath>
      <w:r w:rsidR="000F4BA9">
        <w:rPr>
          <w:b/>
        </w:rPr>
        <w:t xml:space="preserve"> </w:t>
      </w:r>
      <w:r w:rsidR="000F4BA9" w:rsidRPr="005D284A">
        <w:t>and</w:t>
      </w:r>
      <w:r w:rsidR="000F4BA9">
        <w:rPr>
          <w:b/>
        </w:rPr>
        <w:t xml:space="preserve">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rsidR="00C045B0">
        <w:t xml:space="preserve"> </w:t>
      </w:r>
      <w:r w:rsidR="00BC6231">
        <w:t>highlight the combined influence of</w:t>
      </w:r>
      <w:r w:rsidR="0014116F">
        <w:t xml:space="preserve"> perturbation</w:t>
      </w:r>
      <w:r w:rsidR="00BC6231">
        <w:t xml:space="preserve"> </w:t>
      </w:r>
      <w:r w:rsidR="0089350C">
        <w:t>upper-tropospheric ridges</w:t>
      </w:r>
      <w:r w:rsidR="001B7FCD">
        <w:t xml:space="preserve"> within the near-jet environment</w:t>
      </w:r>
      <w:r w:rsidR="00BB021A">
        <w:t>, and thei</w:t>
      </w:r>
      <w:r w:rsidR="00D21F9E">
        <w:t>r</w:t>
      </w:r>
      <w:r w:rsidR="00EE7C7B">
        <w:t xml:space="preserve"> separate</w:t>
      </w:r>
      <w:r w:rsidR="00D21F9E">
        <w:t xml:space="preserve"> interaction</w:t>
      </w:r>
      <w:r w:rsidR="00071605">
        <w:t>s</w:t>
      </w:r>
      <w:r w:rsidR="00D21F9E">
        <w:t xml:space="preserve"> with the mean temperature gradient,</w:t>
      </w:r>
      <w:r w:rsidR="000F4BA9">
        <w:t xml:space="preserve"> on the production of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0F4BA9">
        <w:t xml:space="preserve"> ascent</w:t>
      </w:r>
      <w:r w:rsidR="00D21F9E">
        <w:t>.</w:t>
      </w:r>
      <w:r w:rsidR="000F4BA9">
        <w:t xml:space="preserve"> </w:t>
      </w:r>
      <w:r w:rsidR="00D21F9E">
        <w:t>Similarly, t</w:t>
      </w:r>
      <w:r w:rsidR="000F4BA9">
        <w:t xml:space="preserve">he interaction between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lt</m:t>
            </m:r>
          </m:sub>
        </m:sSub>
      </m:oMath>
      <w:r w:rsidR="000F4BA9">
        <w:rPr>
          <w:b/>
        </w:rPr>
        <w:t xml:space="preserve"> </w:t>
      </w:r>
      <w:r w:rsidR="000F4BA9" w:rsidRPr="005D284A">
        <w:t>and</w:t>
      </w:r>
      <w:r w:rsidR="000F4BA9">
        <w:rPr>
          <w:b/>
        </w:rPr>
        <w:t xml:space="preserve">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rsidR="0089350C">
        <w:t xml:space="preserve"> </w:t>
      </w:r>
      <w:r w:rsidR="000F4BA9">
        <w:t>highlights the influence of</w:t>
      </w:r>
      <w:r w:rsidR="0014116F">
        <w:t xml:space="preserve"> a</w:t>
      </w:r>
      <w:r w:rsidR="0089350C">
        <w:t xml:space="preserve"> </w:t>
      </w:r>
      <w:r w:rsidR="00BC6231">
        <w:t xml:space="preserve">surface </w:t>
      </w:r>
      <w:r w:rsidR="0089350C">
        <w:t>cyclone</w:t>
      </w:r>
      <w:r w:rsidR="00B9446B">
        <w:t xml:space="preserve"> (e.g., Winters et al. 2020; their Fig. 8i)</w:t>
      </w:r>
      <w:r w:rsidR="003338AD">
        <w:t>, and its interaction with the mean temperature gradient,</w:t>
      </w:r>
      <w:r w:rsidR="00EE7C7B">
        <w:t xml:space="preserve"> </w:t>
      </w:r>
      <w:r w:rsidR="00E4325C">
        <w:t xml:space="preserve">on the production of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14116F">
        <w:t xml:space="preserve"> </w:t>
      </w:r>
      <w:r w:rsidR="00E4325C">
        <w:t>ascent</w:t>
      </w:r>
      <w:r w:rsidR="00BC6231">
        <w:t xml:space="preserve">. </w:t>
      </w:r>
      <w:r w:rsidR="00BF2815">
        <w:t>Notably</w:t>
      </w:r>
      <w:r w:rsidR="002A78A6">
        <w:t>,</w:t>
      </w:r>
      <w:r w:rsidR="005C4A37">
        <w:t xml:space="preserve"> the</w:t>
      </w:r>
      <w:r w:rsidR="00255050">
        <w:t xml:space="preserve"> interactions between</w:t>
      </w:r>
      <w:r w:rsidR="002A78A6">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ant</m:t>
            </m:r>
          </m:sub>
        </m:sSub>
      </m:oMath>
      <w:r w:rsidR="00255050">
        <w:rPr>
          <w:b/>
        </w:rPr>
        <w:t xml:space="preserve"> </w:t>
      </w:r>
      <w:r w:rsidR="00255050" w:rsidRPr="00255050">
        <w:t>and</w:t>
      </w:r>
      <w:r w:rsidR="00255050">
        <w:rPr>
          <w:b/>
        </w:rPr>
        <w:t xml:space="preserve"> </w:t>
      </w:r>
      <m:oMath>
        <m:sSub>
          <m:sSubPr>
            <m:ctrlPr>
              <w:rPr>
                <w:rFonts w:ascii="Cambria Math" w:hAnsi="Cambria Math"/>
                <w:i/>
              </w:rPr>
            </m:ctrlPr>
          </m:sSubPr>
          <m:e>
            <m:r>
              <w:rPr>
                <w:rFonts w:ascii="Cambria Math" w:hAnsi="Cambria Math"/>
              </w:rPr>
              <m:t>T</m:t>
            </m:r>
          </m:e>
          <m:sub>
            <m:r>
              <w:rPr>
                <w:rFonts w:ascii="Cambria Math" w:hAnsi="Cambria Math"/>
              </w:rPr>
              <m:t>ant</m:t>
            </m:r>
          </m:sub>
        </m:sSub>
      </m:oMath>
      <w:r w:rsidR="00255050">
        <w:t>,</w:t>
      </w:r>
      <w:r w:rsidR="002A78A6">
        <w:t xml:space="preserve"> and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res</m:t>
            </m:r>
          </m:sub>
        </m:sSub>
      </m:oMath>
      <w:r w:rsidR="00255050">
        <w:rPr>
          <w:b/>
        </w:rPr>
        <w:t xml:space="preserve"> </w:t>
      </w:r>
      <w:r w:rsidR="00255050" w:rsidRPr="00255050">
        <w:t>and</w:t>
      </w:r>
      <w:r w:rsidR="00255050">
        <w:rPr>
          <w:b/>
        </w:rPr>
        <w:t xml:space="preserve"> </w:t>
      </w:r>
      <m:oMath>
        <m:sSub>
          <m:sSubPr>
            <m:ctrlPr>
              <w:rPr>
                <w:rFonts w:ascii="Cambria Math" w:hAnsi="Cambria Math"/>
                <w:i/>
              </w:rPr>
            </m:ctrlPr>
          </m:sSubPr>
          <m:e>
            <m:r>
              <w:rPr>
                <w:rFonts w:ascii="Cambria Math" w:hAnsi="Cambria Math"/>
              </w:rPr>
              <m:t>T</m:t>
            </m:r>
          </m:e>
          <m:sub>
            <m:r>
              <w:rPr>
                <w:rFonts w:ascii="Cambria Math" w:hAnsi="Cambria Math"/>
              </w:rPr>
              <m:t>ant</m:t>
            </m:r>
          </m:sub>
        </m:sSub>
        <m:r>
          <w:rPr>
            <w:rFonts w:ascii="Cambria Math" w:hAnsi="Cambria Math"/>
          </w:rPr>
          <m:t>,</m:t>
        </m:r>
      </m:oMath>
      <w:r w:rsidR="00E4325C">
        <w:rPr>
          <w:b/>
        </w:rPr>
        <w:t xml:space="preserve"> </w:t>
      </w:r>
      <w:r w:rsidR="00BF2815" w:rsidRPr="00BF2815">
        <w:t>also</w:t>
      </w:r>
      <w:r w:rsidR="00BF2815">
        <w:rPr>
          <w:b/>
        </w:rPr>
        <w:t xml:space="preserve"> </w:t>
      </w:r>
      <w:r w:rsidR="00422F48">
        <w:t>contribute</w:t>
      </w:r>
      <w:r w:rsidR="0002430A">
        <w:t xml:space="preserve"> a nonnegligible amount</w:t>
      </w:r>
      <w:r w:rsidR="00422F48">
        <w:t xml:space="preserve"> to</w:t>
      </w:r>
      <w:r w:rsidR="00B9446B">
        <w:t xml:space="preserve"> </w:t>
      </w:r>
      <w:r w:rsidR="0014116F">
        <w:t>QG</w:t>
      </w:r>
      <w:r w:rsidR="0002430A">
        <w:t xml:space="preserve"> </w:t>
      </w:r>
      <w:r w:rsidR="00D86E44">
        <w:t>vertical motion</w:t>
      </w:r>
      <w:r w:rsidR="00E4325C">
        <w:t xml:space="preserve"> </w:t>
      </w:r>
      <w:r w:rsidR="00035EF5">
        <w:t xml:space="preserve">at the location of maximum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035EF5">
        <w:t xml:space="preserve"> ascent</w:t>
      </w:r>
      <w:r w:rsidR="005C4A37">
        <w:t>. This result</w:t>
      </w:r>
      <w:r w:rsidR="00BF2815">
        <w:t xml:space="preserve"> reveals </w:t>
      </w:r>
      <w:r w:rsidR="00D86603">
        <w:t>an</w:t>
      </w:r>
      <w:r w:rsidR="00BF2815">
        <w:t xml:space="preserve"> </w:t>
      </w:r>
      <w:r w:rsidR="00D274F6">
        <w:t xml:space="preserve">important </w:t>
      </w:r>
      <w:r w:rsidR="0089350C">
        <w:t>contribution</w:t>
      </w:r>
      <w:r w:rsidR="00D86603">
        <w:t xml:space="preserve"> to</w:t>
      </w:r>
      <w:r w:rsidR="00057E2D">
        <w:t xml:space="preserve"> the production of</w:t>
      </w:r>
      <w:r w:rsidR="00D86603">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5C4A37">
        <w:t xml:space="preserve"> ascent</w:t>
      </w:r>
      <w:r w:rsidR="00071605">
        <w:t xml:space="preserve"> during eastern subtropical dominant events</w:t>
      </w:r>
      <w:r w:rsidR="00D86603">
        <w:t xml:space="preserve"> that </w:t>
      </w:r>
      <w:r w:rsidR="00057E2D">
        <w:t>results from</w:t>
      </w:r>
      <w:r w:rsidR="00C53A15">
        <w:t xml:space="preserve"> the</w:t>
      </w:r>
      <w:r w:rsidR="00800754">
        <w:t xml:space="preserve"> </w:t>
      </w:r>
      <w:r w:rsidR="00C53A15">
        <w:t>interaction</w:t>
      </w:r>
      <w:r w:rsidR="00800754">
        <w:t>s</w:t>
      </w:r>
      <w:r w:rsidR="00C53A15">
        <w:t xml:space="preserve"> between </w:t>
      </w:r>
      <w:r w:rsidR="00AC4563">
        <w:t xml:space="preserve">perturbation upper-tropospheric ridges within the near-jet </w:t>
      </w:r>
      <w:r w:rsidR="00AC4563">
        <w:lastRenderedPageBreak/>
        <w:t>environment and</w:t>
      </w:r>
      <w:r w:rsidR="00AD645C">
        <w:t xml:space="preserve"> </w:t>
      </w:r>
      <w:r w:rsidR="009474D7">
        <w:t>the</w:t>
      </w:r>
      <w:r w:rsidR="001B7FCD">
        <w:t xml:space="preserve"> </w:t>
      </w:r>
      <w:r w:rsidR="00BF2815">
        <w:t xml:space="preserve">baroclinicity </w:t>
      </w:r>
      <w:r w:rsidR="007903AD">
        <w:t>attributed to</w:t>
      </w:r>
      <w:r w:rsidR="00BF2815">
        <w:t xml:space="preserve"> tropical anticyclonic QGPV anomalies</w:t>
      </w:r>
      <w:r w:rsidR="00071605">
        <w:t xml:space="preserve"> </w:t>
      </w:r>
      <w:r w:rsidR="0009503D">
        <w:t>(Fig. 1</w:t>
      </w:r>
      <w:r w:rsidR="0014116F">
        <w:t>0</w:t>
      </w:r>
      <w:r w:rsidR="0009503D">
        <w:t>)</w:t>
      </w:r>
      <w:r w:rsidR="00422F48">
        <w:t>.</w:t>
      </w:r>
    </w:p>
    <w:p w14:paraId="13D57212" w14:textId="718138DE" w:rsidR="005D5E82" w:rsidRDefault="00422F48" w:rsidP="000C27CD">
      <w:pPr>
        <w:widowControl w:val="0"/>
        <w:spacing w:line="480" w:lineRule="auto"/>
      </w:pPr>
      <w:r>
        <w:tab/>
      </w:r>
      <w:r w:rsidR="00F936ED">
        <w:t xml:space="preserve">As </w:t>
      </w:r>
      <w:r w:rsidR="00E33F51">
        <w:t xml:space="preserve">observed </w:t>
      </w:r>
      <w:r w:rsidR="00B33E4E">
        <w:t>during</w:t>
      </w:r>
      <w:r w:rsidR="00F936ED">
        <w:t xml:space="preserve"> polar dominant events, western subtropical dominant events feature </w:t>
      </w:r>
      <w:r w:rsidR="0088416A">
        <w:t>large</w:t>
      </w:r>
      <w:r w:rsidR="00F936ED">
        <w:t xml:space="preserve"> contributions to</w:t>
      </w:r>
      <w:r w:rsidR="00B33E4E">
        <w:t xml:space="preserve"> </w:t>
      </w:r>
      <w:r w:rsidR="00511B88">
        <w:t xml:space="preserve">500-hPa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F936ED">
        <w:t xml:space="preserve"> ascent from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cyc</m:t>
            </m:r>
          </m:sub>
        </m:sSub>
      </m:oMath>
      <w:r w:rsidR="0088416A">
        <w:t xml:space="preserve"> (Fig. 1</w:t>
      </w:r>
      <w:r w:rsidR="005E0953">
        <w:t>0</w:t>
      </w:r>
      <w:r w:rsidR="0088416A">
        <w:t>)</w:t>
      </w:r>
      <w:r w:rsidR="00F936ED">
        <w:t>, given that the location of maximum</w:t>
      </w:r>
      <w:r w:rsidR="00E33F51">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F936ED">
        <w:t xml:space="preserve"> ascent</w:t>
      </w:r>
      <w:r w:rsidR="00DC3262">
        <w:t xml:space="preserve"> resides</w:t>
      </w:r>
      <w:r w:rsidR="00F936ED">
        <w:t xml:space="preserve"> </w:t>
      </w:r>
      <w:r w:rsidR="00E33F51">
        <w:t>in close proximity t</w:t>
      </w:r>
      <w:r w:rsidR="00F936ED">
        <w:t xml:space="preserve">o the jet superposition (Fig. </w:t>
      </w:r>
      <w:r w:rsidR="005E0953">
        <w:t>8</w:t>
      </w:r>
      <w:r w:rsidR="00B33E4E">
        <w:t>b</w:t>
      </w:r>
      <w:r w:rsidR="00F936ED">
        <w:t xml:space="preserve">). </w:t>
      </w:r>
      <w:r w:rsidR="0088416A">
        <w:t>In particular, Fig. 1</w:t>
      </w:r>
      <w:r w:rsidR="005E0953">
        <w:t>0</w:t>
      </w:r>
      <w:r w:rsidR="0088416A">
        <w:t xml:space="preserve"> </w:t>
      </w:r>
      <w:r w:rsidR="009474D7">
        <w:t>shows</w:t>
      </w:r>
      <w:r w:rsidR="00F936ED">
        <w:t xml:space="preserve"> </w:t>
      </w:r>
      <w:r w:rsidR="00B33E4E">
        <w:t>substantial</w:t>
      </w:r>
      <w:r w:rsidR="00F936ED">
        <w:t xml:space="preserve"> contributions</w:t>
      </w:r>
      <w:r w:rsidR="0088416A">
        <w:t xml:space="preserve"> to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88416A">
        <w:t xml:space="preserve"> ascent</w:t>
      </w:r>
      <w:r w:rsidR="00F936ED">
        <w:t xml:space="preserve"> from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cyc</m:t>
            </m:r>
          </m:sub>
        </m:sSub>
      </m:oMath>
      <w:r w:rsidR="0088416A">
        <w:t xml:space="preserve"> and its </w:t>
      </w:r>
      <w:r w:rsidR="008B1D64">
        <w:t xml:space="preserve">separate </w:t>
      </w:r>
      <w:r w:rsidR="0088416A">
        <w:t>interaction</w:t>
      </w:r>
      <w:r w:rsidR="0071525E">
        <w:t>s</w:t>
      </w:r>
      <w:r w:rsidR="0088416A">
        <w:t xml:space="preserve"> with</w:t>
      </w:r>
      <w:r w:rsidR="00F936ED">
        <w:t xml:space="preserve">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rsidR="00E33F51" w:rsidRPr="00E33F51">
        <w:t xml:space="preserve">, </w:t>
      </w:r>
      <m:oMath>
        <m:sSub>
          <m:sSubPr>
            <m:ctrlPr>
              <w:rPr>
                <w:rFonts w:ascii="Cambria Math" w:hAnsi="Cambria Math"/>
                <w:i/>
              </w:rPr>
            </m:ctrlPr>
          </m:sSubPr>
          <m:e>
            <m:r>
              <w:rPr>
                <w:rFonts w:ascii="Cambria Math" w:hAnsi="Cambria Math"/>
              </w:rPr>
              <m:t>T</m:t>
            </m:r>
          </m:e>
          <m:sub>
            <m:r>
              <w:rPr>
                <w:rFonts w:ascii="Cambria Math" w:hAnsi="Cambria Math"/>
              </w:rPr>
              <m:t>cyc</m:t>
            </m:r>
          </m:sub>
        </m:sSub>
      </m:oMath>
      <w:r w:rsidR="00E33F51" w:rsidRPr="00E33F51">
        <w:t xml:space="preserve">, and </w:t>
      </w:r>
      <m:oMath>
        <m:sSub>
          <m:sSubPr>
            <m:ctrlPr>
              <w:rPr>
                <w:rFonts w:ascii="Cambria Math" w:hAnsi="Cambria Math"/>
                <w:i/>
              </w:rPr>
            </m:ctrlPr>
          </m:sSubPr>
          <m:e>
            <m:r>
              <w:rPr>
                <w:rFonts w:ascii="Cambria Math" w:hAnsi="Cambria Math"/>
              </w:rPr>
              <m:t>T</m:t>
            </m:r>
          </m:e>
          <m:sub>
            <m:r>
              <w:rPr>
                <w:rFonts w:ascii="Cambria Math" w:hAnsi="Cambria Math"/>
              </w:rPr>
              <m:t>ant</m:t>
            </m:r>
          </m:sub>
        </m:sSub>
      </m:oMath>
      <w:r w:rsidR="00F936ED">
        <w:t xml:space="preserve">. This result </w:t>
      </w:r>
      <w:r w:rsidR="00DC3262">
        <w:t>reveals</w:t>
      </w:r>
      <w:r w:rsidR="00F936ED">
        <w:t xml:space="preserve"> that the</w:t>
      </w:r>
      <w:r w:rsidR="007939F9">
        <w:t xml:space="preserve"> total</w:t>
      </w:r>
      <w:r w:rsidR="00BE316B">
        <w:t xml:space="preserve"> tropospheric</w:t>
      </w:r>
      <w:r w:rsidR="007939F9">
        <w:t xml:space="preserve"> </w:t>
      </w:r>
      <w:r w:rsidR="00F936ED">
        <w:t>baroclinicity</w:t>
      </w:r>
      <w:r w:rsidR="00B33E4E">
        <w:t xml:space="preserve"> in the vicinity of</w:t>
      </w:r>
      <w:r w:rsidR="0091118E">
        <w:t xml:space="preserve"> western subtropical dominant</w:t>
      </w:r>
      <w:r w:rsidR="00B33E4E">
        <w:t xml:space="preserve"> jet superpositions </w:t>
      </w:r>
      <w:r w:rsidR="009474D7">
        <w:t xml:space="preserve">results </w:t>
      </w:r>
      <w:r w:rsidR="00511B88">
        <w:t>from</w:t>
      </w:r>
      <w:r w:rsidR="009474D7">
        <w:t xml:space="preserve"> the</w:t>
      </w:r>
      <w:r w:rsidR="004F791A">
        <w:t xml:space="preserve"> presence of </w:t>
      </w:r>
      <w:r w:rsidR="0091118E">
        <w:t>both</w:t>
      </w:r>
      <w:r w:rsidR="00B33E4E">
        <w:t xml:space="preserve"> </w:t>
      </w:r>
      <w:r w:rsidR="009474D7">
        <w:t xml:space="preserve">strong </w:t>
      </w:r>
      <w:r w:rsidR="00B33E4E">
        <w:t>polar cyclonic and</w:t>
      </w:r>
      <w:r w:rsidR="009474D7">
        <w:t xml:space="preserve"> </w:t>
      </w:r>
      <w:r w:rsidR="00B33E4E">
        <w:t>tropical anticyclonic QGPV anomalies</w:t>
      </w:r>
      <w:r w:rsidR="00B0405D">
        <w:t xml:space="preserve"> in the near-jet environment</w:t>
      </w:r>
      <w:r w:rsidR="004F791A">
        <w:t>, with a minor contribution from the mean temperature field</w:t>
      </w:r>
      <w:r w:rsidR="00B33E4E">
        <w:t>.</w:t>
      </w:r>
      <w:r w:rsidR="004F791A">
        <w:t xml:space="preserve"> Nevertheless,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cyc</m:t>
            </m:r>
          </m:sub>
        </m:sSub>
      </m:oMath>
      <w:r w:rsidR="004F791A">
        <w:t xml:space="preserve"> is the primary circulation that interacts with the strong baroclinicity assembled in the vicinity of western subtropical dominant jet superpositions to produce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4F791A">
        <w:t xml:space="preserve"> ascent</w:t>
      </w:r>
      <w:r w:rsidR="000C27CD">
        <w:t>.</w:t>
      </w:r>
    </w:p>
    <w:p w14:paraId="1C237444" w14:textId="629E85B0" w:rsidR="00474D9D" w:rsidRDefault="00AC4563" w:rsidP="007A3462">
      <w:pPr>
        <w:widowControl w:val="0"/>
        <w:spacing w:line="480" w:lineRule="auto"/>
      </w:pPr>
      <w:r>
        <w:tab/>
        <w:t>To summarize</w:t>
      </w:r>
      <w:r w:rsidR="00F63E4C">
        <w:t xml:space="preserve">, the QG vertical motion pattern during polar dominant events </w:t>
      </w:r>
      <w:r w:rsidR="000B0350">
        <w:t xml:space="preserve">is predominantly attributed to </w:t>
      </w:r>
      <w:r w:rsidR="00F63E4C">
        <w:t>the geostrophic wind and baroclinicity induced by polar cyclonic QGPV anomalies. T</w:t>
      </w:r>
      <w:r>
        <w:t>he influence of polar cyclonic QGPV anomalies on the production of QG vertical motion</w:t>
      </w:r>
      <w:r w:rsidR="00513615">
        <w:t xml:space="preserve"> </w:t>
      </w:r>
      <w:r>
        <w:t>is</w:t>
      </w:r>
      <w:r w:rsidR="00F63E4C">
        <w:t xml:space="preserve"> also</w:t>
      </w:r>
      <w:r>
        <w:t xml:space="preserve"> substantial during eastern and western subtropical dominant events, however, tropical anticyclonic QGPV anomalies, lower tropospheric QGPV anomalies (i.e., surface cyclones), and residual QGPV anomalies (i.e., the background upper-tropospheric flow pattern) make relatively larger contributions to the QG vertical motion pattern</w:t>
      </w:r>
      <w:r w:rsidR="00214AA1">
        <w:t xml:space="preserve"> via their associated geostrophic wind and temperature fields</w:t>
      </w:r>
      <w:r w:rsidR="00544480">
        <w:t xml:space="preserve"> during both types of subtropical dominant events</w:t>
      </w:r>
      <w:r>
        <w:t xml:space="preserve"> compared to polar dominant events. Consequently, the QG vertical motion pattern</w:t>
      </w:r>
      <w:r w:rsidR="00214AA1">
        <w:t>s</w:t>
      </w:r>
      <w:r>
        <w:t xml:space="preserve"> during </w:t>
      </w:r>
      <w:r w:rsidR="00544480">
        <w:t xml:space="preserve">both types of </w:t>
      </w:r>
      <w:r>
        <w:t xml:space="preserve">subtropical dominant events </w:t>
      </w:r>
      <w:r w:rsidR="00214AA1">
        <w:t>are</w:t>
      </w:r>
      <w:r w:rsidR="00F63E4C">
        <w:t xml:space="preserve"> more complex than that</w:t>
      </w:r>
      <w:r w:rsidR="005B2230">
        <w:t xml:space="preserve"> observed </w:t>
      </w:r>
      <w:r w:rsidR="00F63E4C">
        <w:t>during polar dominant events</w:t>
      </w:r>
      <w:r w:rsidR="00210ABA">
        <w:t>,</w:t>
      </w:r>
      <w:r w:rsidR="00F63E4C">
        <w:t xml:space="preserve"> and </w:t>
      </w:r>
      <w:r w:rsidR="002512FB">
        <w:t>appear to be more</w:t>
      </w:r>
      <w:r w:rsidR="002A04BB">
        <w:t xml:space="preserve"> dependent on the</w:t>
      </w:r>
      <w:r w:rsidR="00BF71F5">
        <w:t xml:space="preserve"> nuanced</w:t>
      </w:r>
      <w:r w:rsidR="002A04BB">
        <w:t xml:space="preserve"> configuration of</w:t>
      </w:r>
      <w:r>
        <w:t xml:space="preserve"> upper- and lower-tropospheric QGPV anomalies that reside within the near-jet environment.</w:t>
      </w:r>
    </w:p>
    <w:p w14:paraId="79FBE86D" w14:textId="77777777" w:rsidR="00FF1010" w:rsidRDefault="00FF1010" w:rsidP="007A3462">
      <w:pPr>
        <w:widowControl w:val="0"/>
        <w:spacing w:line="480" w:lineRule="auto"/>
        <w:rPr>
          <w:b/>
        </w:rPr>
      </w:pPr>
    </w:p>
    <w:p w14:paraId="4E5CC949" w14:textId="54FC9C10" w:rsidR="00B26A45" w:rsidRPr="002A185E" w:rsidRDefault="00BD3B7D" w:rsidP="007A3462">
      <w:pPr>
        <w:widowControl w:val="0"/>
        <w:spacing w:line="480" w:lineRule="auto"/>
        <w:rPr>
          <w:b/>
        </w:rPr>
      </w:pPr>
      <w:r>
        <w:rPr>
          <w:b/>
        </w:rPr>
        <w:t>4.  Along- and across-</w:t>
      </w:r>
      <w:r w:rsidR="005760E2">
        <w:rPr>
          <w:b/>
        </w:rPr>
        <w:t>isotherm</w:t>
      </w:r>
      <w:r>
        <w:rPr>
          <w:b/>
        </w:rPr>
        <w:t xml:space="preserve"> vertical motion in the vicinity of jet superpositions </w:t>
      </w:r>
    </w:p>
    <w:p w14:paraId="3EE6F0B8" w14:textId="14D29CF2" w:rsidR="00F67277" w:rsidRDefault="00F67277" w:rsidP="007A3462">
      <w:pPr>
        <w:widowControl w:val="0"/>
        <w:spacing w:line="480" w:lineRule="auto"/>
      </w:pPr>
      <w:r>
        <w:tab/>
      </w:r>
      <w:r w:rsidR="00615550">
        <w:t>T</w:t>
      </w:r>
      <w:r w:rsidR="00E430E4">
        <w:t>he character of</w:t>
      </w:r>
      <w:r w:rsidR="00615550">
        <w:t xml:space="preserve"> QG </w:t>
      </w:r>
      <w:r w:rsidR="00E430E4">
        <w:t>vertical motion in the vicinity of jet superpositions</w:t>
      </w:r>
      <w:r w:rsidR="00615550">
        <w:t xml:space="preserve"> can be further evaluated by partitioning the </w:t>
      </w:r>
      <w:r w:rsidR="00615550" w:rsidRPr="00615550">
        <w:rPr>
          <w:b/>
          <w:i/>
        </w:rPr>
        <w:t>Q</w:t>
      </w:r>
      <w:r w:rsidR="00615550">
        <w:t xml:space="preserve"> vector into</w:t>
      </w:r>
      <w:r w:rsidR="00C93DD1">
        <w:t xml:space="preserve"> an</w:t>
      </w:r>
      <w:r w:rsidR="00615550">
        <w:t xml:space="preserve"> along-isotherm (</w:t>
      </w:r>
      <w:r w:rsidR="00615550" w:rsidRPr="00F67277">
        <w:rPr>
          <w:b/>
          <w:i/>
        </w:rPr>
        <w:t>Q</w:t>
      </w:r>
      <w:r w:rsidR="00615550">
        <w:rPr>
          <w:b/>
          <w:i/>
          <w:vertAlign w:val="subscript"/>
        </w:rPr>
        <w:t>s</w:t>
      </w:r>
      <w:r w:rsidR="00615550">
        <w:t>) and</w:t>
      </w:r>
      <w:r w:rsidR="00C93DD1">
        <w:t xml:space="preserve"> an</w:t>
      </w:r>
      <w:r w:rsidR="00615550">
        <w:t xml:space="preserve"> across-isotherm (</w:t>
      </w:r>
      <w:r w:rsidR="00615550" w:rsidRPr="00F67277">
        <w:rPr>
          <w:b/>
          <w:i/>
        </w:rPr>
        <w:t>Q</w:t>
      </w:r>
      <w:r w:rsidR="00615550">
        <w:rPr>
          <w:b/>
          <w:i/>
          <w:vertAlign w:val="subscript"/>
        </w:rPr>
        <w:t>n</w:t>
      </w:r>
      <w:r w:rsidR="00615550">
        <w:t>) component</w:t>
      </w:r>
      <w:r w:rsidR="00301FC4">
        <w:t>.</w:t>
      </w:r>
      <w:r w:rsidR="00674155">
        <w:t xml:space="preserve"> </w:t>
      </w:r>
      <w:r w:rsidR="006D1B92">
        <w:t>T</w:t>
      </w:r>
      <w:r>
        <w:t>h</w:t>
      </w:r>
      <w:r w:rsidR="00140923">
        <w:t>is</w:t>
      </w:r>
      <w:r>
        <w:t xml:space="preserve"> partition of </w:t>
      </w:r>
      <w:r w:rsidRPr="00F67277">
        <w:rPr>
          <w:b/>
          <w:i/>
        </w:rPr>
        <w:t>Q</w:t>
      </w:r>
      <w:r>
        <w:rPr>
          <w:b/>
          <w:i/>
        </w:rPr>
        <w:t xml:space="preserve"> </w:t>
      </w:r>
      <w:r>
        <w:t>is performed within a</w:t>
      </w:r>
      <w:r w:rsidR="006607D0">
        <w:t xml:space="preserve"> </w:t>
      </w:r>
      <w:r>
        <w:t>left-hand coordinate system</w:t>
      </w:r>
      <w:r>
        <w:rPr>
          <w:rStyle w:val="FootnoteReference"/>
        </w:rPr>
        <w:footnoteReference w:id="2"/>
      </w:r>
      <w:r>
        <w:t xml:space="preserve"> following Martin (1999</w:t>
      </w:r>
      <w:r w:rsidR="006D1B92">
        <w:t>, 2006</w:t>
      </w:r>
      <w:r w:rsidR="00C00F26">
        <w:t>, 2014</w:t>
      </w:r>
      <w:r>
        <w:t>) in which</w:t>
      </w:r>
      <w:r w:rsidR="00B2599C">
        <w:t xml:space="preserve"> the unit vector,</w:t>
      </w:r>
      <w:r>
        <w:t xml:space="preserve"> </w:t>
      </w:r>
      <w:r w:rsidR="00540FD6" w:rsidRPr="00540FD6">
        <w:rPr>
          <w:b/>
          <w:i/>
        </w:rPr>
        <w:t>s</w:t>
      </w:r>
      <w:r w:rsidR="00B2599C">
        <w:t xml:space="preserve">, </w:t>
      </w:r>
      <w:r>
        <w:t xml:space="preserve">is </w:t>
      </w:r>
      <w:r w:rsidR="00CA636A">
        <w:t>aligned</w:t>
      </w:r>
      <w:r w:rsidR="00B2599C">
        <w:t xml:space="preserve"> in the along-</w:t>
      </w:r>
      <w:r w:rsidR="000E64C1">
        <w:t>isotherm</w:t>
      </w:r>
      <w:r w:rsidR="00B2599C">
        <w:t xml:space="preserve"> direction [(</w:t>
      </w:r>
      <m:oMath>
        <m:acc>
          <m:accPr>
            <m:ctrlPr>
              <w:rPr>
                <w:rFonts w:ascii="Cambria Math" w:hAnsi="Cambria Math"/>
                <w:i/>
              </w:rPr>
            </m:ctrlPr>
          </m:accPr>
          <m:e>
            <m:r>
              <w:rPr>
                <w:rFonts w:ascii="Cambria Math" w:hAnsi="Cambria Math"/>
              </w:rPr>
              <m:t>k</m:t>
            </m:r>
          </m:e>
        </m:acc>
        <m:r>
          <w:rPr>
            <w:rFonts w:ascii="Cambria Math" w:hAnsi="Cambria Math"/>
          </w:rPr>
          <m:t>×</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T|</m:t>
        </m:r>
      </m:oMath>
      <w:r w:rsidR="00B2599C">
        <w:t>]</w:t>
      </w:r>
      <w:r w:rsidR="000E676D">
        <w:t>,</w:t>
      </w:r>
      <w:r w:rsidR="00B2599C">
        <w:t xml:space="preserve"> and</w:t>
      </w:r>
      <w:r w:rsidR="000E676D">
        <w:t xml:space="preserve"> </w:t>
      </w:r>
      <w:r w:rsidR="00540FD6">
        <w:t>the unit vector,</w:t>
      </w:r>
      <w:r w:rsidR="00B2599C">
        <w:t xml:space="preserve"> </w:t>
      </w:r>
      <w:r w:rsidR="00540FD6" w:rsidRPr="008B1823">
        <w:rPr>
          <w:b/>
          <w:i/>
        </w:rPr>
        <w:t>n</w:t>
      </w:r>
      <w:r w:rsidR="00540FD6">
        <w:t>,</w:t>
      </w:r>
      <w:r w:rsidR="00B2599C">
        <w:t xml:space="preserve"> is directed 90° </w:t>
      </w:r>
      <w:r w:rsidR="00540FD6">
        <w:t>clockwise of</w:t>
      </w:r>
      <w:r w:rsidR="00B2599C">
        <w:t xml:space="preserve"> </w:t>
      </w:r>
      <w:r w:rsidR="00540FD6" w:rsidRPr="008B1823">
        <w:rPr>
          <w:b/>
          <w:i/>
        </w:rPr>
        <w:t>s</w:t>
      </w:r>
      <w:r w:rsidR="00B2599C">
        <w:t xml:space="preserve"> and points towards warmer air (</w:t>
      </w:r>
      <m:oMath>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T|</m:t>
        </m:r>
      </m:oMath>
      <w:r w:rsidR="00B2599C">
        <w:t xml:space="preserve">). </w:t>
      </w:r>
      <w:r w:rsidR="00CA636A">
        <w:t>T</w:t>
      </w:r>
      <w:r w:rsidR="00B2599C">
        <w:t>he along-</w:t>
      </w:r>
      <w:r w:rsidR="000E64C1">
        <w:t>isotherm</w:t>
      </w:r>
      <w:r w:rsidR="00B2599C">
        <w:t xml:space="preserve"> and across-</w:t>
      </w:r>
      <w:r w:rsidR="000E64C1">
        <w:t>isotherm</w:t>
      </w:r>
      <w:r w:rsidR="00B2599C">
        <w:t xml:space="preserve"> components of </w:t>
      </w:r>
      <w:r w:rsidR="00B2599C" w:rsidRPr="00B2599C">
        <w:rPr>
          <w:b/>
          <w:i/>
        </w:rPr>
        <w:t>Q</w:t>
      </w:r>
      <w:r w:rsidR="00B2599C">
        <w:rPr>
          <w:b/>
          <w:i/>
        </w:rPr>
        <w:t xml:space="preserve"> </w:t>
      </w:r>
      <w:r w:rsidR="00B2599C">
        <w:t>are defined in this coordinate system as:</w:t>
      </w:r>
    </w:p>
    <w:p w14:paraId="377F4012" w14:textId="30E55F66" w:rsidR="00B2599C" w:rsidRDefault="00B2599C" w:rsidP="00B2599C">
      <w:pPr>
        <w:widowControl w:val="0"/>
        <w:spacing w:line="480" w:lineRule="auto"/>
        <w:jc w:val="center"/>
      </w:pPr>
      <m:oMath>
        <m:r>
          <w:rPr>
            <w:rFonts w:ascii="Cambria Math" w:hAnsi="Cambria Math"/>
          </w:rPr>
          <m:t xml:space="preserve">                                                        </m:t>
        </m:r>
        <m:sSub>
          <m:sSubPr>
            <m:ctrlPr>
              <w:rPr>
                <w:rFonts w:ascii="Cambria Math" w:hAnsi="Cambria Math"/>
                <w:b/>
                <w:i/>
              </w:rPr>
            </m:ctrlPr>
          </m:sSubPr>
          <m:e>
            <m:r>
              <m:rPr>
                <m:sty m:val="bi"/>
              </m:rPr>
              <w:rPr>
                <w:rFonts w:ascii="Cambria Math" w:hAnsi="Cambria Math"/>
              </w:rPr>
              <m:t>Q</m:t>
            </m:r>
          </m:e>
          <m:sub>
            <m:r>
              <m:rPr>
                <m:sty m:val="bi"/>
              </m:rPr>
              <w:rPr>
                <w:rFonts w:ascii="Cambria Math" w:hAnsi="Cambria Math"/>
              </w:rPr>
              <m:t>s</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Q</m:t>
                </m:r>
                <m:r>
                  <w:rPr>
                    <w:rFonts w:ascii="Cambria Math" w:hAnsi="Cambria Math"/>
                  </w:rPr>
                  <m:t>∙(</m:t>
                </m:r>
                <m:acc>
                  <m:accPr>
                    <m:ctrlPr>
                      <w:rPr>
                        <w:rFonts w:ascii="Cambria Math" w:hAnsi="Cambria Math"/>
                        <w:i/>
                      </w:rPr>
                    </m:ctrlPr>
                  </m:accPr>
                  <m:e>
                    <m:r>
                      <w:rPr>
                        <w:rFonts w:ascii="Cambria Math" w:hAnsi="Cambria Math"/>
                      </w:rPr>
                      <m:t>k</m:t>
                    </m:r>
                  </m:e>
                </m:acc>
                <m:r>
                  <w:rPr>
                    <w:rFonts w:ascii="Cambria Math" w:hAnsi="Cambria Math"/>
                  </w:rPr>
                  <m:t>×</m:t>
                </m:r>
                <m:r>
                  <m:rPr>
                    <m:sty m:val="p"/>
                  </m:rPr>
                  <w:rPr>
                    <w:rFonts w:ascii="Cambria Math" w:hAnsi="Cambria Math"/>
                  </w:rPr>
                  <m:t>∇</m:t>
                </m:r>
                <m:r>
                  <w:rPr>
                    <w:rFonts w:ascii="Cambria Math" w:hAnsi="Cambria Math"/>
                  </w:rPr>
                  <m:t>T)</m:t>
                </m:r>
              </m:num>
              <m:den>
                <m:r>
                  <w:rPr>
                    <w:rFonts w:ascii="Cambria Math" w:hAnsi="Cambria Math"/>
                  </w:rPr>
                  <m:t>|</m:t>
                </m:r>
                <m:r>
                  <m:rPr>
                    <m:sty m:val="p"/>
                  </m:rPr>
                  <w:rPr>
                    <w:rFonts w:ascii="Cambria Math" w:hAnsi="Cambria Math"/>
                  </w:rPr>
                  <m:t>∇</m:t>
                </m:r>
                <m:r>
                  <w:rPr>
                    <w:rFonts w:ascii="Cambria Math" w:hAnsi="Cambria Math"/>
                  </w:rPr>
                  <m:t>T|</m:t>
                </m:r>
              </m:den>
            </m:f>
          </m:e>
        </m:d>
        <m:f>
          <m:fPr>
            <m:ctrlPr>
              <w:rPr>
                <w:rFonts w:ascii="Cambria Math" w:hAnsi="Cambria Math"/>
                <w:i/>
              </w:rPr>
            </m:ctrlPr>
          </m:fPr>
          <m:num>
            <m:r>
              <w:rPr>
                <w:rFonts w:ascii="Cambria Math" w:hAnsi="Cambria Math"/>
              </w:rPr>
              <m:t>(</m:t>
            </m:r>
            <m:acc>
              <m:accPr>
                <m:ctrlPr>
                  <w:rPr>
                    <w:rFonts w:ascii="Cambria Math" w:hAnsi="Cambria Math"/>
                    <w:i/>
                  </w:rPr>
                </m:ctrlPr>
              </m:accPr>
              <m:e>
                <m:r>
                  <w:rPr>
                    <w:rFonts w:ascii="Cambria Math" w:hAnsi="Cambria Math"/>
                  </w:rPr>
                  <m:t>k</m:t>
                </m:r>
              </m:e>
            </m:acc>
            <m:r>
              <w:rPr>
                <w:rFonts w:ascii="Cambria Math" w:hAnsi="Cambria Math"/>
              </w:rPr>
              <m:t>×</m:t>
            </m:r>
            <m:r>
              <m:rPr>
                <m:sty m:val="p"/>
              </m:rPr>
              <w:rPr>
                <w:rFonts w:ascii="Cambria Math" w:hAnsi="Cambria Math"/>
              </w:rPr>
              <m:t>∇</m:t>
            </m:r>
            <m:r>
              <w:rPr>
                <w:rFonts w:ascii="Cambria Math" w:hAnsi="Cambria Math"/>
              </w:rPr>
              <m:t>T)</m:t>
            </m:r>
          </m:num>
          <m:den>
            <m:r>
              <w:rPr>
                <w:rFonts w:ascii="Cambria Math" w:hAnsi="Cambria Math"/>
              </w:rPr>
              <m:t>|</m:t>
            </m:r>
            <m:r>
              <m:rPr>
                <m:sty m:val="p"/>
              </m:rPr>
              <w:rPr>
                <w:rFonts w:ascii="Cambria Math" w:hAnsi="Cambria Math"/>
              </w:rPr>
              <m:t>∇</m:t>
            </m:r>
            <m:r>
              <w:rPr>
                <w:rFonts w:ascii="Cambria Math" w:hAnsi="Cambria Math"/>
              </w:rPr>
              <m:t>T|</m:t>
            </m:r>
          </m:den>
        </m:f>
      </m:oMath>
      <w:r>
        <w:t xml:space="preserve">                                       (</w:t>
      </w:r>
      <w:r w:rsidR="00D83161">
        <w:t>7</w:t>
      </w:r>
      <w:r w:rsidR="00835470">
        <w:t>a</w:t>
      </w:r>
      <w:r>
        <w:t>)</w:t>
      </w:r>
    </w:p>
    <w:p w14:paraId="40569DDB" w14:textId="2F9A0BFC" w:rsidR="00B2599C" w:rsidRPr="00B2599C" w:rsidRDefault="00B2599C" w:rsidP="00B2599C">
      <w:pPr>
        <w:widowControl w:val="0"/>
        <w:spacing w:line="480" w:lineRule="auto"/>
        <w:jc w:val="center"/>
      </w:pP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Q</m:t>
            </m:r>
          </m:e>
          <m:sub>
            <m:r>
              <m:rPr>
                <m:sty m:val="bi"/>
              </m:rPr>
              <w:rPr>
                <w:rFonts w:ascii="Cambria Math" w:hAnsi="Cambria Math"/>
              </w:rPr>
              <m:t>n</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m:rPr>
                    <m:sty m:val="bi"/>
                  </m:rPr>
                  <w:rPr>
                    <w:rFonts w:ascii="Cambria Math" w:hAnsi="Cambria Math"/>
                  </w:rPr>
                  <m:t>Q</m:t>
                </m:r>
                <m:r>
                  <w:rPr>
                    <w:rFonts w:ascii="Cambria Math" w:hAnsi="Cambria Math"/>
                  </w:rPr>
                  <m:t>∙</m:t>
                </m:r>
                <m:r>
                  <m:rPr>
                    <m:sty m:val="p"/>
                  </m:rPr>
                  <w:rPr>
                    <w:rFonts w:ascii="Cambria Math" w:hAnsi="Cambria Math"/>
                  </w:rPr>
                  <m:t>∇</m:t>
                </m:r>
                <m:r>
                  <w:rPr>
                    <w:rFonts w:ascii="Cambria Math" w:hAnsi="Cambria Math"/>
                  </w:rPr>
                  <m:t>T</m:t>
                </m:r>
              </m:num>
              <m:den>
                <m:r>
                  <w:rPr>
                    <w:rFonts w:ascii="Cambria Math" w:hAnsi="Cambria Math"/>
                  </w:rPr>
                  <m:t>|</m:t>
                </m:r>
                <m:r>
                  <m:rPr>
                    <m:sty m:val="p"/>
                  </m:rPr>
                  <w:rPr>
                    <w:rFonts w:ascii="Cambria Math" w:hAnsi="Cambria Math"/>
                  </w:rPr>
                  <m:t>∇</m:t>
                </m:r>
                <m:r>
                  <w:rPr>
                    <w:rFonts w:ascii="Cambria Math" w:hAnsi="Cambria Math"/>
                  </w:rPr>
                  <m:t>T|</m:t>
                </m:r>
              </m:den>
            </m:f>
          </m:e>
        </m:d>
        <m:f>
          <m:fPr>
            <m:ctrlPr>
              <w:rPr>
                <w:rFonts w:ascii="Cambria Math" w:hAnsi="Cambria Math"/>
                <w:i/>
              </w:rPr>
            </m:ctrlPr>
          </m:fPr>
          <m:num>
            <m:r>
              <m:rPr>
                <m:sty m:val="p"/>
              </m:rPr>
              <w:rPr>
                <w:rFonts w:ascii="Cambria Math" w:hAnsi="Cambria Math"/>
              </w:rPr>
              <m:t>∇</m:t>
            </m:r>
            <m:r>
              <w:rPr>
                <w:rFonts w:ascii="Cambria Math" w:hAnsi="Cambria Math"/>
              </w:rPr>
              <m:t>T</m:t>
            </m:r>
          </m:num>
          <m:den>
            <m:r>
              <w:rPr>
                <w:rFonts w:ascii="Cambria Math" w:hAnsi="Cambria Math"/>
              </w:rPr>
              <m:t>|</m:t>
            </m:r>
            <m:r>
              <m:rPr>
                <m:sty m:val="p"/>
              </m:rPr>
              <w:rPr>
                <w:rFonts w:ascii="Cambria Math" w:hAnsi="Cambria Math"/>
              </w:rPr>
              <m:t>∇</m:t>
            </m:r>
            <m:r>
              <w:rPr>
                <w:rFonts w:ascii="Cambria Math" w:hAnsi="Cambria Math"/>
              </w:rPr>
              <m:t>T|</m:t>
            </m:r>
          </m:den>
        </m:f>
      </m:oMath>
      <w:r>
        <w:t xml:space="preserve">                                       </w:t>
      </w:r>
      <w:r w:rsidR="00507DD8">
        <w:t xml:space="preserve">     </w:t>
      </w:r>
      <w:r>
        <w:t>(</w:t>
      </w:r>
      <w:r w:rsidR="00D83161">
        <w:t>7</w:t>
      </w:r>
      <w:r w:rsidR="00835470">
        <w:t>b</w:t>
      </w:r>
      <w:r>
        <w:t>)</w:t>
      </w:r>
    </w:p>
    <w:p w14:paraId="5F006C91" w14:textId="304DD881" w:rsidR="00B2599C" w:rsidRDefault="00507DD8" w:rsidP="00507DD8">
      <w:pPr>
        <w:widowControl w:val="0"/>
        <w:spacing w:line="480" w:lineRule="auto"/>
      </w:pPr>
      <w:r>
        <w:t xml:space="preserve">where </w:t>
      </w:r>
      <w:r w:rsidRPr="00507DD8">
        <w:rPr>
          <w:b/>
          <w:i/>
        </w:rPr>
        <w:t>Q</w:t>
      </w:r>
      <w:r>
        <w:t xml:space="preserve"> = </w:t>
      </w:r>
      <w:r w:rsidRPr="00507DD8">
        <w:rPr>
          <w:b/>
          <w:i/>
        </w:rPr>
        <w:t>Q</w:t>
      </w:r>
      <w:r w:rsidRPr="00507DD8">
        <w:rPr>
          <w:b/>
          <w:i/>
          <w:vertAlign w:val="subscript"/>
        </w:rPr>
        <w:t>s</w:t>
      </w:r>
      <w:r>
        <w:t xml:space="preserve"> + </w:t>
      </w:r>
      <w:r w:rsidRPr="00507DD8">
        <w:rPr>
          <w:b/>
          <w:i/>
        </w:rPr>
        <w:t>Q</w:t>
      </w:r>
      <w:r w:rsidRPr="00507DD8">
        <w:rPr>
          <w:b/>
          <w:i/>
          <w:vertAlign w:val="subscript"/>
        </w:rPr>
        <w:t>n</w:t>
      </w:r>
      <w:r>
        <w:t xml:space="preserve">. </w:t>
      </w:r>
      <w:r w:rsidR="00A82175">
        <w:t xml:space="preserve">The divergence of </w:t>
      </w:r>
      <w:r w:rsidR="00E01C1C" w:rsidRPr="00F67277">
        <w:rPr>
          <w:b/>
          <w:i/>
        </w:rPr>
        <w:t>Q</w:t>
      </w:r>
      <w:r w:rsidR="00D53D1E">
        <w:rPr>
          <w:b/>
          <w:i/>
          <w:vertAlign w:val="subscript"/>
        </w:rPr>
        <w:t>s</w:t>
      </w:r>
      <w:r w:rsidR="00E01C1C">
        <w:rPr>
          <w:b/>
          <w:i/>
          <w:vertAlign w:val="subscript"/>
        </w:rPr>
        <w:t xml:space="preserve"> </w:t>
      </w:r>
      <w:r w:rsidR="00E01C1C">
        <w:t xml:space="preserve">and </w:t>
      </w:r>
      <w:r w:rsidR="00E01C1C" w:rsidRPr="00F67277">
        <w:rPr>
          <w:b/>
          <w:i/>
        </w:rPr>
        <w:t>Q</w:t>
      </w:r>
      <w:r w:rsidR="00D53D1E">
        <w:rPr>
          <w:b/>
          <w:i/>
          <w:vertAlign w:val="subscript"/>
        </w:rPr>
        <w:t>n</w:t>
      </w:r>
      <w:r w:rsidR="00E01C1C" w:rsidRPr="0006042E">
        <w:rPr>
          <w:b/>
          <w:i/>
        </w:rPr>
        <w:t xml:space="preserve"> </w:t>
      </w:r>
      <w:r w:rsidR="00E01C1C">
        <w:t>can be</w:t>
      </w:r>
      <w:r w:rsidR="00D53D1E">
        <w:t xml:space="preserve"> separately</w:t>
      </w:r>
      <w:r w:rsidR="00E01C1C">
        <w:t xml:space="preserve"> substituted into the right-hand side of (</w:t>
      </w:r>
      <w:r w:rsidR="00D53D1E">
        <w:t>5</w:t>
      </w:r>
      <w:r w:rsidR="00E01C1C">
        <w:t xml:space="preserve">) to </w:t>
      </w:r>
      <w:r w:rsidR="00D53D1E">
        <w:t>calculate</w:t>
      </w:r>
      <w:r w:rsidR="000E676D">
        <w:t xml:space="preserve"> </w:t>
      </w:r>
      <w:r w:rsidR="00E01C1C">
        <w:t>the</w:t>
      </w:r>
      <w:r w:rsidR="00D53D1E">
        <w:t xml:space="preserve"> along-</w:t>
      </w:r>
      <w:r w:rsidR="00881E1D">
        <w:t>isotherm</w:t>
      </w:r>
      <w:r w:rsidR="00CA636A">
        <w:t xml:space="preserve"> component of the</w:t>
      </w:r>
      <w:r w:rsidR="00E01C1C">
        <w:t xml:space="preserve"> vertical motion</w:t>
      </w:r>
      <w:r w:rsidR="00D53D1E">
        <w:t xml:space="preserve">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D53D1E">
        <w:t>)</w:t>
      </w:r>
      <w:r w:rsidR="00B30D36">
        <w:t xml:space="preserve"> </w:t>
      </w:r>
      <w:r w:rsidR="006224AA">
        <w:t xml:space="preserve">and </w:t>
      </w:r>
      <w:r w:rsidR="00B30D36">
        <w:t>the</w:t>
      </w:r>
      <w:r w:rsidR="00D53D1E">
        <w:t xml:space="preserve"> across-</w:t>
      </w:r>
      <w:r w:rsidR="00881E1D">
        <w:t>isotherm</w:t>
      </w:r>
      <w:r w:rsidR="00CA636A">
        <w:t xml:space="preserve"> component of the</w:t>
      </w:r>
      <w:r w:rsidR="00B30D36">
        <w:t xml:space="preserve"> vertical motion</w:t>
      </w:r>
      <w:r w:rsidR="00D53D1E">
        <w:t xml:space="preserve"> (</w:t>
      </w:r>
      <m:oMath>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m:t>
        </m:r>
      </m:oMath>
      <w:r w:rsidR="00D53D1E">
        <w:t xml:space="preserve">, </w:t>
      </w:r>
      <w:r w:rsidR="006224AA">
        <w:t>such that</w:t>
      </w:r>
      <w:r w:rsidR="006F22FE">
        <w:t xml:space="preserve"> </w:t>
      </w:r>
      <m:oMath>
        <m:sSub>
          <m:sSubPr>
            <m:ctrlPr>
              <w:rPr>
                <w:rFonts w:ascii="Cambria Math" w:hAnsi="Cambria Math"/>
                <w:i/>
              </w:rPr>
            </m:ctrlPr>
          </m:sSubPr>
          <m:e>
            <m:r>
              <w:rPr>
                <w:rFonts w:ascii="Cambria Math" w:hAnsi="Cambria Math"/>
              </w:rPr>
              <m:t>ω</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n</m:t>
            </m:r>
          </m:sub>
        </m:sSub>
      </m:oMath>
      <w:r w:rsidR="00D53D1E">
        <w:t>.</w:t>
      </w:r>
    </w:p>
    <w:p w14:paraId="33E5E410" w14:textId="54B0D4FA" w:rsidR="00D83161" w:rsidRPr="00C422E2" w:rsidRDefault="00D83161" w:rsidP="00507DD8">
      <w:pPr>
        <w:widowControl w:val="0"/>
        <w:spacing w:line="480" w:lineRule="auto"/>
      </w:pPr>
      <w:r>
        <w:tab/>
        <w:t xml:space="preserve">The along-isotherm component of the </w:t>
      </w:r>
      <w:r w:rsidRPr="00B21CDA">
        <w:rPr>
          <w:b/>
          <w:i/>
        </w:rPr>
        <w:t>Q</w:t>
      </w:r>
      <w:r>
        <w:t xml:space="preserve"> vector diagnoses changes in the </w:t>
      </w:r>
      <w:r w:rsidR="00630641">
        <w:t>orientation</w:t>
      </w:r>
      <w:r>
        <w:t xml:space="preserve"> of the horizontal temperature</w:t>
      </w:r>
      <w:r w:rsidR="00CC16D7">
        <w:t xml:space="preserve"> gradient</w:t>
      </w:r>
      <w:r>
        <w:t xml:space="preserve"> </w:t>
      </w:r>
      <w:r w:rsidR="00C422E2">
        <w:t>following</w:t>
      </w:r>
      <w:r>
        <w:t xml:space="preserve"> the geostrophic wind, while the across-isotherm component of the </w:t>
      </w:r>
      <w:r w:rsidRPr="00346D19">
        <w:rPr>
          <w:b/>
          <w:i/>
        </w:rPr>
        <w:t>Q</w:t>
      </w:r>
      <w:r>
        <w:t xml:space="preserve"> vector diagnoses changes in the magnitude of the horizontal temperature gradient </w:t>
      </w:r>
      <w:r w:rsidR="00C422E2">
        <w:t>following</w:t>
      </w:r>
      <w:r>
        <w:t xml:space="preserve"> the geostrophic wind (e.g., Keyser et al. 1988, 1992; Martin 1999, 2006, 2014).</w:t>
      </w:r>
      <w:r w:rsidR="00C422E2">
        <w:t xml:space="preserve"> </w:t>
      </w:r>
      <w:r w:rsidR="00630641">
        <w:t>T</w:t>
      </w:r>
      <w:r w:rsidR="00C422E2">
        <w:t xml:space="preserve">he QG vertical motion associated with the divergence of </w:t>
      </w:r>
      <w:r w:rsidR="00C422E2" w:rsidRPr="00C422E2">
        <w:rPr>
          <w:b/>
          <w:i/>
        </w:rPr>
        <w:t>Q</w:t>
      </w:r>
      <w:r w:rsidR="00C422E2" w:rsidRPr="00C422E2">
        <w:rPr>
          <w:b/>
          <w:i/>
          <w:vertAlign w:val="subscript"/>
        </w:rPr>
        <w:t>s</w:t>
      </w:r>
      <w:r w:rsidR="009C4C37">
        <w:rPr>
          <w:b/>
          <w:i/>
        </w:rPr>
        <w:t xml:space="preserve"> </w:t>
      </w:r>
      <w:r w:rsidR="00E909A7">
        <w:t>corresponds to</w:t>
      </w:r>
      <w:r w:rsidR="00C422E2">
        <w:t xml:space="preserve"> the vertical motion associated with synoptic-scale waves, while the QG vertical motion associated with the </w:t>
      </w:r>
      <w:r w:rsidR="00C422E2">
        <w:lastRenderedPageBreak/>
        <w:t xml:space="preserve">divergence of </w:t>
      </w:r>
      <w:r w:rsidR="00C422E2" w:rsidRPr="00F67277">
        <w:rPr>
          <w:b/>
          <w:i/>
        </w:rPr>
        <w:t>Q</w:t>
      </w:r>
      <w:r w:rsidR="00C422E2">
        <w:rPr>
          <w:b/>
          <w:i/>
          <w:vertAlign w:val="subscript"/>
        </w:rPr>
        <w:t>n</w:t>
      </w:r>
      <w:r w:rsidR="00C422E2">
        <w:t xml:space="preserve"> corresponds to the vertical motion associated with frontal circulations </w:t>
      </w:r>
      <w:r w:rsidR="00963030">
        <w:t>in the vicinity of the jet</w:t>
      </w:r>
      <w:r w:rsidR="00C422E2">
        <w:t xml:space="preserve">. Therefore, </w:t>
      </w:r>
      <w:r w:rsidR="00630641">
        <w:t>this</w:t>
      </w:r>
      <w:r w:rsidR="00C422E2">
        <w:t xml:space="preserve"> partition of the </w:t>
      </w:r>
      <w:r w:rsidR="00C422E2">
        <w:rPr>
          <w:b/>
        </w:rPr>
        <w:t xml:space="preserve">Q </w:t>
      </w:r>
      <w:r w:rsidR="00C422E2">
        <w:t xml:space="preserve">vector provides insight into the </w:t>
      </w:r>
      <w:r w:rsidR="00EA50E9">
        <w:t>extent</w:t>
      </w:r>
      <w:r w:rsidR="00C422E2">
        <w:t xml:space="preserve"> to which </w:t>
      </w:r>
      <w:r w:rsidR="00963030">
        <w:t>QG vertical motions</w:t>
      </w:r>
      <w:r w:rsidR="00EA50E9">
        <w:t xml:space="preserve"> within the near-jet environment</w:t>
      </w:r>
      <w:r w:rsidR="00963030">
        <w:t xml:space="preserve"> </w:t>
      </w:r>
      <w:r w:rsidR="00124FE9">
        <w:t>are associated with an</w:t>
      </w:r>
      <w:r w:rsidR="00963030">
        <w:t xml:space="preserve"> </w:t>
      </w:r>
      <w:r w:rsidR="00647742">
        <w:t>amplified upper-tropospheric flow pattern</w:t>
      </w:r>
      <w:r w:rsidR="00E067C0">
        <w:t xml:space="preserve"> (i.e.,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E067C0">
        <w:t>)</w:t>
      </w:r>
      <w:r w:rsidR="00963030">
        <w:t xml:space="preserve"> or frontal circulations that accompany the superposed jet</w:t>
      </w:r>
      <w:r w:rsidR="00E067C0">
        <w:t xml:space="preserve"> (i.e.,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E067C0">
        <w:t>)</w:t>
      </w:r>
      <w:r w:rsidR="00963030">
        <w:t>.</w:t>
      </w:r>
    </w:p>
    <w:p w14:paraId="31BE52DC" w14:textId="056C60E4" w:rsidR="00051E21" w:rsidRDefault="0097775F" w:rsidP="00507DD8">
      <w:pPr>
        <w:widowControl w:val="0"/>
        <w:spacing w:line="480" w:lineRule="auto"/>
      </w:pPr>
      <w:r>
        <w:tab/>
      </w:r>
      <w:r w:rsidR="00863661">
        <w:t xml:space="preserve">The </w:t>
      </w:r>
      <m:oMath>
        <m:sSub>
          <m:sSubPr>
            <m:ctrlPr>
              <w:rPr>
                <w:rFonts w:ascii="Cambria Math" w:hAnsi="Cambria Math"/>
                <w:i/>
              </w:rPr>
            </m:ctrlPr>
          </m:sSubPr>
          <m:e>
            <m:r>
              <w:rPr>
                <w:rFonts w:ascii="Cambria Math" w:hAnsi="Cambria Math"/>
              </w:rPr>
              <m:t>ω</m:t>
            </m:r>
          </m:e>
          <m:sub>
            <m:r>
              <w:rPr>
                <w:rFonts w:ascii="Cambria Math" w:hAnsi="Cambria Math"/>
              </w:rPr>
              <m:t>s</m:t>
            </m:r>
          </m:sub>
        </m:sSub>
        <m:r>
          <w:rPr>
            <w:rFonts w:ascii="Cambria Math" w:hAnsi="Cambria Math"/>
          </w:rPr>
          <m:t xml:space="preserve"> </m:t>
        </m:r>
      </m:oMath>
      <w:r w:rsidR="002856D3">
        <w:t xml:space="preserve">and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2856D3">
        <w:t xml:space="preserve"> </w:t>
      </w:r>
      <w:r w:rsidR="00417AC8">
        <w:t xml:space="preserve">patterns </w:t>
      </w:r>
      <w:r w:rsidR="00DF3525">
        <w:t>associated with</w:t>
      </w:r>
      <w:r w:rsidR="002856D3">
        <w:t xml:space="preserve"> polar dominant events </w:t>
      </w:r>
      <w:r w:rsidR="005C5A2B">
        <w:t>are</w:t>
      </w:r>
      <w:r w:rsidR="002856D3">
        <w:t xml:space="preserve"> shown in</w:t>
      </w:r>
      <w:r w:rsidR="00863661">
        <w:t xml:space="preserve"> Fig. 1</w:t>
      </w:r>
      <w:r w:rsidR="00C00A81">
        <w:t>1</w:t>
      </w:r>
      <w:r w:rsidR="00863661">
        <w:t xml:space="preserve">a. </w:t>
      </w:r>
      <w:r w:rsidR="00E6324F">
        <w:t xml:space="preserve">The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2856D3">
        <w:t xml:space="preserve"> </w:t>
      </w:r>
      <w:r w:rsidR="00307992">
        <w:t xml:space="preserve">pattern </w:t>
      </w:r>
      <w:r w:rsidR="003175C8">
        <w:t>features</w:t>
      </w:r>
      <w:r w:rsidR="00E6324F">
        <w:t xml:space="preserve"> a</w:t>
      </w:r>
      <w:r w:rsidR="003175C8">
        <w:t xml:space="preserve"> </w:t>
      </w:r>
      <w:r w:rsidR="00E6324F">
        <w:t>dipole</w:t>
      </w:r>
      <w:r w:rsidR="005C5A2B">
        <w:t xml:space="preserve"> centered on the location of jet superposition</w:t>
      </w:r>
      <w:r w:rsidR="00E6324F">
        <w:t>, with</w:t>
      </w:r>
      <w:r w:rsidR="008A2DAA">
        <w:t xml:space="preserve"> QG</w:t>
      </w:r>
      <w:r w:rsidR="00E6324F">
        <w:t xml:space="preserve"> ascent situated downstream of </w:t>
      </w:r>
      <w:r w:rsidR="005C5A2B">
        <w:t>the</w:t>
      </w:r>
      <w:r w:rsidR="00E6324F">
        <w:t xml:space="preserve"> jet superposition and</w:t>
      </w:r>
      <w:r w:rsidR="005F6FC2">
        <w:t xml:space="preserve"> QG</w:t>
      </w:r>
      <w:r w:rsidR="00E6324F">
        <w:t xml:space="preserve"> descent situated upstream.</w:t>
      </w:r>
      <w:r w:rsidR="00AA33AA">
        <w:t xml:space="preserve"> T</w:t>
      </w:r>
      <w:r w:rsidR="00607661">
        <w:t>his</w:t>
      </w:r>
      <w:r w:rsidR="003175C8">
        <w:t xml:space="preserve"> </w:t>
      </w:r>
      <w:r w:rsidR="004770DC">
        <w:t>dipole</w:t>
      </w:r>
      <w:r w:rsidR="00E6324F">
        <w:t xml:space="preserve"> is consistent with the</w:t>
      </w:r>
      <w:r w:rsidR="003C5E03">
        <w:t xml:space="preserve"> presence of</w:t>
      </w:r>
      <w:r w:rsidR="003175C8">
        <w:t xml:space="preserve"> </w:t>
      </w:r>
      <w:r w:rsidR="00794456">
        <w:t xml:space="preserve">an amplified </w:t>
      </w:r>
      <w:r w:rsidR="00C75F9B">
        <w:t>upper-tropospheric trough</w:t>
      </w:r>
      <w:r w:rsidR="00C93DD1">
        <w:t xml:space="preserve"> </w:t>
      </w:r>
      <w:r w:rsidR="002038D5">
        <w:t xml:space="preserve">on the poleward side of the jet </w:t>
      </w:r>
      <w:r w:rsidR="00E6324F">
        <w:t xml:space="preserve">(Fig. </w:t>
      </w:r>
      <w:r w:rsidR="00CE420C">
        <w:t>2</w:t>
      </w:r>
      <w:r w:rsidR="00E6324F">
        <w:t>a</w:t>
      </w:r>
      <w:r w:rsidR="00051E21">
        <w:t>; e.g., Hoskins and Sanders 1990, their Fig. 4</w:t>
      </w:r>
      <w:r w:rsidR="00E6324F">
        <w:t>). The</w:t>
      </w:r>
      <w:r w:rsidR="00607661">
        <w:t xml:space="preserve">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2856D3">
        <w:t xml:space="preserve"> </w:t>
      </w:r>
      <w:r w:rsidR="00417AC8">
        <w:t xml:space="preserve">pattern </w:t>
      </w:r>
      <w:r w:rsidR="00AA33AA">
        <w:t>exhibits</w:t>
      </w:r>
      <w:r w:rsidR="002856D3">
        <w:t xml:space="preserve"> a</w:t>
      </w:r>
      <w:r w:rsidR="00E6324F">
        <w:t xml:space="preserve"> quadrupole</w:t>
      </w:r>
      <w:r w:rsidR="00AA33AA">
        <w:t xml:space="preserve"> structure</w:t>
      </w:r>
      <w:r w:rsidR="00051E21">
        <w:t>,</w:t>
      </w:r>
      <w:r w:rsidR="00E6324F">
        <w:t xml:space="preserve"> with a thermally</w:t>
      </w:r>
      <w:r w:rsidR="00417AC8">
        <w:t xml:space="preserve"> </w:t>
      </w:r>
      <w:r w:rsidR="00E6324F">
        <w:t xml:space="preserve">direct circulation </w:t>
      </w:r>
      <w:r w:rsidR="00607661">
        <w:t>beneath</w:t>
      </w:r>
      <w:r w:rsidR="00E6324F">
        <w:t xml:space="preserve"> the</w:t>
      </w:r>
      <w:r w:rsidR="00DF4978">
        <w:t xml:space="preserve"> confluent</w:t>
      </w:r>
      <w:r w:rsidR="00E6324F">
        <w:t xml:space="preserve"> </w:t>
      </w:r>
      <w:r w:rsidR="002856D3">
        <w:t>jet-</w:t>
      </w:r>
      <w:r w:rsidR="00E6324F">
        <w:t>entrance region and a thermally</w:t>
      </w:r>
      <w:r w:rsidR="004A1951">
        <w:t xml:space="preserve"> </w:t>
      </w:r>
      <w:r w:rsidR="00E6324F">
        <w:t xml:space="preserve">indirect circulation </w:t>
      </w:r>
      <w:r w:rsidR="00607661">
        <w:t>beneath</w:t>
      </w:r>
      <w:r w:rsidR="00E6324F">
        <w:t xml:space="preserve"> the</w:t>
      </w:r>
      <w:r w:rsidR="00DF4978">
        <w:t xml:space="preserve"> diffluent</w:t>
      </w:r>
      <w:r w:rsidR="00E6324F">
        <w:t xml:space="preserve"> </w:t>
      </w:r>
      <w:r w:rsidR="002856D3">
        <w:t>jet-</w:t>
      </w:r>
      <w:r w:rsidR="00E6324F">
        <w:t>exit region</w:t>
      </w:r>
      <w:r w:rsidR="002856D3">
        <w:t xml:space="preserve"> (Fig</w:t>
      </w:r>
      <w:r w:rsidR="0028375F">
        <w:t>s</w:t>
      </w:r>
      <w:r w:rsidR="00844368">
        <w:t>.</w:t>
      </w:r>
      <w:r w:rsidR="0028375F">
        <w:t xml:space="preserve"> </w:t>
      </w:r>
      <w:r w:rsidR="004A1951">
        <w:t>1</w:t>
      </w:r>
      <w:r w:rsidR="00CE420C">
        <w:t>1</w:t>
      </w:r>
      <w:r w:rsidR="0028375F">
        <w:t>a and</w:t>
      </w:r>
      <w:r w:rsidR="002856D3">
        <w:t xml:space="preserve"> </w:t>
      </w:r>
      <w:r w:rsidR="00CE420C">
        <w:t>2</w:t>
      </w:r>
      <w:r w:rsidR="002856D3">
        <w:t>a)</w:t>
      </w:r>
      <w:r w:rsidR="00E6324F">
        <w:t>.</w:t>
      </w:r>
      <w:r w:rsidR="00051E21">
        <w:t xml:space="preserve"> This quadrupole structure is consistent with the</w:t>
      </w:r>
      <w:r w:rsidR="002B43E8">
        <w:t xml:space="preserve"> idealized</w:t>
      </w:r>
      <w:r w:rsidR="0056596F">
        <w:t xml:space="preserve"> </w:t>
      </w:r>
      <w:r w:rsidR="00051E21">
        <w:t xml:space="preserve">QG vertical motion patterns </w:t>
      </w:r>
      <w:r w:rsidR="00C93DD1">
        <w:t>anticipated</w:t>
      </w:r>
      <w:r w:rsidR="00051E21">
        <w:t xml:space="preserve"> in the vicinity of</w:t>
      </w:r>
      <w:r w:rsidR="00BD3231">
        <w:t xml:space="preserve"> </w:t>
      </w:r>
      <w:r w:rsidR="00051E21">
        <w:t xml:space="preserve">jets (e.g., </w:t>
      </w:r>
      <w:r w:rsidR="00BD72AE">
        <w:t>Uccellini et al. 1987</w:t>
      </w:r>
      <w:r w:rsidR="006C08FB">
        <w:t>, their Fig. 3</w:t>
      </w:r>
      <w:r w:rsidR="00BD72AE">
        <w:t xml:space="preserve">; </w:t>
      </w:r>
      <w:r w:rsidR="00051E21">
        <w:t>Hoskins and Sanders 1990</w:t>
      </w:r>
      <w:r w:rsidR="00120738">
        <w:t>, their Figs. 5 and 6</w:t>
      </w:r>
      <w:r w:rsidR="00051E21">
        <w:t>).</w:t>
      </w:r>
      <w:r w:rsidR="00E6324F">
        <w:t xml:space="preserve"> </w:t>
      </w:r>
    </w:p>
    <w:p w14:paraId="5D72130F" w14:textId="597D4E1A" w:rsidR="00540FD6" w:rsidRDefault="00051E21" w:rsidP="00507DD8">
      <w:pPr>
        <w:widowControl w:val="0"/>
        <w:spacing w:line="480" w:lineRule="auto"/>
      </w:pPr>
      <w:r>
        <w:tab/>
      </w:r>
      <w:r w:rsidR="00D66A13">
        <w:t>Consideration of</w:t>
      </w:r>
      <w:r w:rsidR="002856D3">
        <w:t xml:space="preserve"> </w:t>
      </w:r>
      <w:r w:rsidR="00926888">
        <w:t xml:space="preserve">the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2856D3">
        <w:t xml:space="preserve"> and</w:t>
      </w:r>
      <w:r w:rsidR="00D66A13">
        <w:t xml:space="preserve">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2856D3">
        <w:t xml:space="preserve"> </w:t>
      </w:r>
      <w:r w:rsidR="004A1951">
        <w:t>patterns</w:t>
      </w:r>
      <w:r w:rsidR="00046A33">
        <w:t xml:space="preserve"> </w:t>
      </w:r>
      <w:r w:rsidR="00267D76">
        <w:t>during polar dominant events</w:t>
      </w:r>
      <w:r w:rsidR="004A1951">
        <w:t xml:space="preserve"> </w:t>
      </w:r>
      <w:r w:rsidR="00D66A13">
        <w:t xml:space="preserve">indicates that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D66A13">
        <w:t xml:space="preserve"> </w:t>
      </w:r>
      <w:r>
        <w:t>is larger in magnitude</w:t>
      </w:r>
      <w:r w:rsidR="002C0495">
        <w:t xml:space="preserve"> </w:t>
      </w:r>
      <w:r w:rsidR="00066B5B">
        <w:t>than</w:t>
      </w:r>
      <w:r w:rsidR="002856D3">
        <w:t xml:space="preserve">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t xml:space="preserve"> </w:t>
      </w:r>
      <w:r w:rsidR="00267D76">
        <w:t>(Fig. 1</w:t>
      </w:r>
      <w:r w:rsidR="00CE420C">
        <w:t>1</w:t>
      </w:r>
      <w:r w:rsidR="00267D76">
        <w:t>a)</w:t>
      </w:r>
      <w:r w:rsidR="00F45E52">
        <w:t>.</w:t>
      </w:r>
      <w:r w:rsidR="005F6FC2">
        <w:t xml:space="preserve"> </w:t>
      </w:r>
      <w:r w:rsidR="00F45E52">
        <w:t>N</w:t>
      </w:r>
      <w:r w:rsidR="00427A60">
        <w:t>evertheless</w:t>
      </w:r>
      <w:r w:rsidR="005F6FC2">
        <w:t>,</w:t>
      </w:r>
      <w:r w:rsidR="00D66A13">
        <w:t xml:space="preserve"> </w:t>
      </w:r>
      <w:r w:rsidR="005F6FC2">
        <w:t>b</w:t>
      </w:r>
      <w:r w:rsidR="00D66A13">
        <w:t xml:space="preserve">oth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2856D3">
        <w:t xml:space="preserve"> and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5F6FC2">
        <w:t xml:space="preserve"> </w:t>
      </w:r>
      <w:r w:rsidR="005B7CB5">
        <w:t>contribute</w:t>
      </w:r>
      <w:r w:rsidR="00607661">
        <w:t xml:space="preserve"> to </w:t>
      </w:r>
      <w:r w:rsidR="00755CB3">
        <w:t>QG</w:t>
      </w:r>
      <w:r w:rsidR="00D66A13">
        <w:t xml:space="preserve"> descent </w:t>
      </w:r>
      <w:r w:rsidR="0028375F">
        <w:t>upstream of the jet superposition</w:t>
      </w:r>
      <w:r w:rsidR="00D66A13">
        <w:t xml:space="preserve"> and</w:t>
      </w:r>
      <w:r w:rsidR="00755CB3">
        <w:t xml:space="preserve"> QG</w:t>
      </w:r>
      <w:r w:rsidR="00D66A13">
        <w:t xml:space="preserve"> ascent </w:t>
      </w:r>
      <w:r w:rsidR="0028375F">
        <w:t>downstream of the jet superposition</w:t>
      </w:r>
      <w:r w:rsidR="00C45E13">
        <w:t xml:space="preserve"> (Fig</w:t>
      </w:r>
      <w:r w:rsidR="00926888">
        <w:t>s</w:t>
      </w:r>
      <w:r w:rsidR="00C45E13">
        <w:t>.</w:t>
      </w:r>
      <w:r w:rsidR="005F6FC2">
        <w:t xml:space="preserve"> </w:t>
      </w:r>
      <w:r w:rsidR="003175C8">
        <w:t>1</w:t>
      </w:r>
      <w:r w:rsidR="00CE420C">
        <w:t>1</w:t>
      </w:r>
      <w:r w:rsidR="005F6FC2">
        <w:t>a</w:t>
      </w:r>
      <w:r w:rsidR="00C45E13">
        <w:t>)</w:t>
      </w:r>
      <w:r w:rsidR="00D66A13">
        <w:t xml:space="preserve">. A cross section </w:t>
      </w:r>
      <w:r w:rsidR="005F6FC2">
        <w:t>upstream of the jet superposition</w:t>
      </w:r>
      <w:r w:rsidR="00D650F6">
        <w:t xml:space="preserve"> </w:t>
      </w:r>
      <w:r w:rsidR="006E27C8">
        <w:t>confirms</w:t>
      </w:r>
      <w:r w:rsidR="00D66A13">
        <w:t xml:space="preserve"> </w:t>
      </w:r>
      <w:r w:rsidR="009B1BC4">
        <w:t>that</w:t>
      </w:r>
      <w:r w:rsidR="00607661">
        <w:t xml:space="preserve">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9B1BC4">
        <w:t xml:space="preserve"> contribute</w:t>
      </w:r>
      <w:r w:rsidR="00607661">
        <w:t>s a larger amount to QG descent</w:t>
      </w:r>
      <w:r w:rsidR="009B1BC4">
        <w:t xml:space="preserve"> </w:t>
      </w:r>
      <w:r w:rsidR="00046A33">
        <w:t xml:space="preserve">beneath and on the poleward side of the tropopause </w:t>
      </w:r>
      <w:r w:rsidR="00AB34EA">
        <w:t>height minimum</w:t>
      </w:r>
      <w:r w:rsidR="00607661">
        <w:t xml:space="preserve"> </w:t>
      </w:r>
      <w:r w:rsidR="00A87FB6">
        <w:t>compared to</w:t>
      </w:r>
      <w:r w:rsidR="00607661">
        <w:t xml:space="preserve">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D650F6">
        <w:t xml:space="preserve"> (Fig. 1</w:t>
      </w:r>
      <w:r w:rsidR="00BC03E8">
        <w:t>1</w:t>
      </w:r>
      <w:r w:rsidR="00D650F6">
        <w:t>b)</w:t>
      </w:r>
      <w:r w:rsidR="00D66A13">
        <w:t>.</w:t>
      </w:r>
      <w:r w:rsidR="00607661">
        <w:t xml:space="preserve"> </w:t>
      </w:r>
      <w:r w:rsidR="00B32DF4">
        <w:t>The</w:t>
      </w:r>
      <w:r w:rsidR="00AB34EA">
        <w:t xml:space="preserve">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7F6F6B">
        <w:t xml:space="preserve"> and</w:t>
      </w:r>
      <w:r w:rsidR="00607661">
        <w:t xml:space="preserve">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BC7242">
        <w:t xml:space="preserve"> </w:t>
      </w:r>
      <w:r w:rsidR="00AB34EA">
        <w:t>descent</w:t>
      </w:r>
      <w:r w:rsidR="002C0495">
        <w:t xml:space="preserve"> maxima</w:t>
      </w:r>
      <w:r w:rsidR="00B32DF4">
        <w:t xml:space="preserve"> are</w:t>
      </w:r>
      <w:r w:rsidR="00046A33">
        <w:t xml:space="preserve"> both</w:t>
      </w:r>
      <w:r w:rsidR="00607661">
        <w:t xml:space="preserve"> </w:t>
      </w:r>
      <w:r w:rsidR="00045892">
        <w:t>located</w:t>
      </w:r>
      <w:r w:rsidR="00C45E13">
        <w:t xml:space="preserve"> </w:t>
      </w:r>
      <w:r w:rsidR="000B276F">
        <w:t xml:space="preserve">in close proximity to the </w:t>
      </w:r>
      <w:r w:rsidR="00B32DF4">
        <w:t>tropopause height minimum</w:t>
      </w:r>
      <w:r w:rsidR="00C469E0">
        <w:t>,</w:t>
      </w:r>
      <w:r w:rsidR="002561AB">
        <w:t xml:space="preserve"> however,</w:t>
      </w:r>
      <w:r w:rsidR="00686B6D">
        <w:t xml:space="preserve"> </w:t>
      </w:r>
      <w:r w:rsidR="007F6F6B">
        <w:t>which</w:t>
      </w:r>
      <w:r w:rsidR="00607661">
        <w:t xml:space="preserve"> suggests that</w:t>
      </w:r>
      <w:r w:rsidR="007F6F6B">
        <w:t xml:space="preserve">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7F6F6B">
        <w:t xml:space="preserve"> and</w:t>
      </w:r>
      <w:r w:rsidR="00607661">
        <w:t xml:space="preserve">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C15AEF">
        <w:t xml:space="preserve"> </w:t>
      </w:r>
      <w:r w:rsidR="00C45E13">
        <w:t>act to</w:t>
      </w:r>
      <w:r w:rsidR="007F6F6B">
        <w:t>gether to</w:t>
      </w:r>
      <w:r w:rsidR="00C45E13">
        <w:t xml:space="preserve"> </w:t>
      </w:r>
      <w:r w:rsidR="00F5034F">
        <w:t>facilitate the</w:t>
      </w:r>
      <w:r w:rsidR="0052109E">
        <w:t xml:space="preserve"> </w:t>
      </w:r>
      <w:r w:rsidR="00C15AEF">
        <w:t xml:space="preserve">downward advection of high-PV air </w:t>
      </w:r>
      <w:r w:rsidR="005E5D4E">
        <w:t>in the vicinity of the tropopause height minimum</w:t>
      </w:r>
      <w:r w:rsidR="00CC31FE">
        <w:t xml:space="preserve"> at this time</w:t>
      </w:r>
      <w:r w:rsidR="00303397">
        <w:t xml:space="preserve"> (</w:t>
      </w:r>
      <w:r w:rsidR="00F5034F">
        <w:t>Fig. 2</w:t>
      </w:r>
      <w:r w:rsidR="00CC31FE">
        <w:t>b</w:t>
      </w:r>
      <w:r w:rsidR="00303397">
        <w:t>)</w:t>
      </w:r>
      <w:r w:rsidR="00821959">
        <w:t xml:space="preserve">. </w:t>
      </w:r>
      <w:r w:rsidR="00045892">
        <w:t>T</w:t>
      </w:r>
      <w:r w:rsidR="00353C40">
        <w:t>his</w:t>
      </w:r>
      <w:r w:rsidR="00821959">
        <w:t xml:space="preserve"> downward advection</w:t>
      </w:r>
      <w:r w:rsidR="00353C40">
        <w:t xml:space="preserve"> of high-PV air</w:t>
      </w:r>
      <w:r w:rsidR="00257BEE">
        <w:t xml:space="preserve"> subsequently</w:t>
      </w:r>
      <w:r w:rsidR="00564C66">
        <w:t xml:space="preserve"> </w:t>
      </w:r>
      <w:r w:rsidR="00AA5A09">
        <w:t xml:space="preserve">contributes to </w:t>
      </w:r>
      <w:r w:rsidR="001C68A7">
        <w:t>the</w:t>
      </w:r>
      <w:r w:rsidR="00385C8C">
        <w:t xml:space="preserve"> </w:t>
      </w:r>
      <w:r w:rsidR="00385C8C">
        <w:lastRenderedPageBreak/>
        <w:t>development of the</w:t>
      </w:r>
      <w:r w:rsidR="00AA5A09">
        <w:t xml:space="preserve"> steep, single-step tropopause structure</w:t>
      </w:r>
      <w:r w:rsidR="00F07A45">
        <w:t xml:space="preserve"> </w:t>
      </w:r>
      <w:r w:rsidR="00385ADB">
        <w:t xml:space="preserve">observed </w:t>
      </w:r>
      <w:r w:rsidR="001C68A7">
        <w:t>at</w:t>
      </w:r>
      <w:r w:rsidR="00AA5A09">
        <w:t xml:space="preserve"> the time of jet superposition</w:t>
      </w:r>
      <w:r w:rsidR="003904D7">
        <w:rPr>
          <w:rStyle w:val="FootnoteReference"/>
        </w:rPr>
        <w:footnoteReference w:id="3"/>
      </w:r>
      <w:r w:rsidR="00353C40">
        <w:t>.</w:t>
      </w:r>
    </w:p>
    <w:p w14:paraId="46A9BB70" w14:textId="416D1CAF" w:rsidR="00D66A13" w:rsidRDefault="00D66A13" w:rsidP="00507DD8">
      <w:pPr>
        <w:widowControl w:val="0"/>
        <w:spacing w:line="480" w:lineRule="auto"/>
      </w:pPr>
      <w:r>
        <w:tab/>
      </w:r>
      <w:r w:rsidR="002A3E38">
        <w:t>T</w:t>
      </w:r>
      <w:r w:rsidR="00EA17EB">
        <w:t xml:space="preserve">he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2A3E38">
        <w:t xml:space="preserve"> pattern during eastern subtropical dominant events </w:t>
      </w:r>
      <w:r w:rsidR="00625778">
        <w:t>features</w:t>
      </w:r>
      <w:r w:rsidR="00917CA4">
        <w:t xml:space="preserve"> a dipole</w:t>
      </w:r>
      <w:r w:rsidR="00FF4F4E">
        <w:t>, with</w:t>
      </w:r>
      <w:r w:rsidR="002A3E38">
        <w:t xml:space="preserve"> QG</w:t>
      </w:r>
      <w:r w:rsidR="00F31A18">
        <w:t xml:space="preserve"> </w:t>
      </w:r>
      <w:r w:rsidR="00B47616">
        <w:t>descent</w:t>
      </w:r>
      <w:r w:rsidR="00F31A18">
        <w:t xml:space="preserve"> </w:t>
      </w:r>
      <w:r w:rsidR="00B47616">
        <w:t>upstream</w:t>
      </w:r>
      <w:r w:rsidR="002047A7">
        <w:t xml:space="preserve"> of the jet superposition</w:t>
      </w:r>
      <w:r w:rsidR="00F31A18">
        <w:t xml:space="preserve"> and</w:t>
      </w:r>
      <w:r w:rsidR="002A3E38">
        <w:t xml:space="preserve"> QG</w:t>
      </w:r>
      <w:r w:rsidR="00F31A18">
        <w:t xml:space="preserve"> </w:t>
      </w:r>
      <w:r w:rsidR="00B47616">
        <w:t>ascent</w:t>
      </w:r>
      <w:r w:rsidR="00F31A18">
        <w:t xml:space="preserve"> </w:t>
      </w:r>
      <w:r w:rsidR="00B47616">
        <w:t>downstream</w:t>
      </w:r>
      <w:r w:rsidR="00F31A18">
        <w:t xml:space="preserve"> of the</w:t>
      </w:r>
      <w:r w:rsidR="002047A7">
        <w:t xml:space="preserve"> jet</w:t>
      </w:r>
      <w:r w:rsidR="00F31A18">
        <w:t xml:space="preserve"> superposition</w:t>
      </w:r>
      <w:r w:rsidR="002A3E38">
        <w:t xml:space="preserve"> (Fig. 1</w:t>
      </w:r>
      <w:r w:rsidR="00434418">
        <w:t>2</w:t>
      </w:r>
      <w:r w:rsidR="002A3E38">
        <w:t>a)</w:t>
      </w:r>
      <w:r w:rsidR="00F31A18">
        <w:t xml:space="preserve">. The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F31A18">
        <w:t xml:space="preserve"> </w:t>
      </w:r>
      <w:r w:rsidR="008E0DDC">
        <w:t>pattern</w:t>
      </w:r>
      <w:r w:rsidR="00AB1E54">
        <w:t xml:space="preserve"> </w:t>
      </w:r>
      <w:r w:rsidR="002C0495">
        <w:t>exhibits</w:t>
      </w:r>
      <w:r w:rsidR="00AB1E54">
        <w:t xml:space="preserve"> a tripole </w:t>
      </w:r>
      <w:r w:rsidR="00B32DF4">
        <w:t>structure</w:t>
      </w:r>
      <w:r w:rsidR="00AB1E54">
        <w:t>, with</w:t>
      </w:r>
      <w:r w:rsidR="008E0DDC">
        <w:t xml:space="preserve"> </w:t>
      </w:r>
      <w:r w:rsidR="00F31A18">
        <w:t>a thermally</w:t>
      </w:r>
      <w:r w:rsidR="008E0DDC">
        <w:t xml:space="preserve"> </w:t>
      </w:r>
      <w:r w:rsidR="00F31A18">
        <w:t xml:space="preserve">direct circulation </w:t>
      </w:r>
      <w:r w:rsidR="00AF2ECF">
        <w:t>beneath</w:t>
      </w:r>
      <w:r w:rsidR="00F31A18">
        <w:t xml:space="preserve"> the jet-entrance region</w:t>
      </w:r>
      <w:r w:rsidR="00AB1E54">
        <w:t xml:space="preserve"> and a weak area of ascent beneath the jet-exit region (Figs. 1</w:t>
      </w:r>
      <w:r w:rsidR="00434418">
        <w:t>2</w:t>
      </w:r>
      <w:r w:rsidR="00AB1E54">
        <w:t xml:space="preserve">a and </w:t>
      </w:r>
      <w:r w:rsidR="00434418">
        <w:t>2</w:t>
      </w:r>
      <w:r w:rsidR="00996FDF">
        <w:t>c</w:t>
      </w:r>
      <w:r w:rsidR="00AB1E54">
        <w:t>)</w:t>
      </w:r>
      <w:r w:rsidR="00F31A18">
        <w:t>.</w:t>
      </w:r>
      <w:r w:rsidR="00EB03B0">
        <w:t xml:space="preserve"> A comparison between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8E0DDC">
        <w:t xml:space="preserve"> </w:t>
      </w:r>
      <w:r w:rsidR="00EB03B0">
        <w:t>and</w:t>
      </w:r>
      <w:r w:rsidR="008E0DDC">
        <w:t xml:space="preserve">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8E0DDC">
        <w:t xml:space="preserve"> </w:t>
      </w:r>
      <w:r w:rsidR="00EB03B0">
        <w:t xml:space="preserve">demonstrates that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EB03B0">
        <w:t xml:space="preserve"> descent is larger </w:t>
      </w:r>
      <w:r w:rsidR="001A47B3">
        <w:t xml:space="preserve">in magnitude </w:t>
      </w:r>
      <w:r w:rsidR="00EB03B0">
        <w:t xml:space="preserve">than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EB03B0">
        <w:t xml:space="preserve"> descent immediately upstream of the jet superposition, but</w:t>
      </w:r>
      <w:r w:rsidR="00293CA7">
        <w:t xml:space="preserve"> is</w:t>
      </w:r>
      <w:r w:rsidR="00EB03B0">
        <w:t xml:space="preserve"> of the same magnitude as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EB03B0">
        <w:t xml:space="preserve"> in</w:t>
      </w:r>
      <w:r w:rsidR="008E0DDC">
        <w:t xml:space="preserve"> locations</w:t>
      </w:r>
      <w:r w:rsidR="00EB03B0">
        <w:t xml:space="preserve"> farther</w:t>
      </w:r>
      <w:r w:rsidR="008E0DDC">
        <w:t xml:space="preserve"> upstream </w:t>
      </w:r>
      <w:r w:rsidR="00007C90">
        <w:t>along the polar jet waveguide</w:t>
      </w:r>
      <w:r w:rsidR="00AA63D1">
        <w:t xml:space="preserve">. </w:t>
      </w:r>
      <w:r w:rsidR="00EB03B0">
        <w:t xml:space="preserve">As </w:t>
      </w:r>
      <w:r w:rsidR="00B32DF4">
        <w:t>with</w:t>
      </w:r>
      <w:r w:rsidR="00EB03B0">
        <w:t xml:space="preserve"> polar dominant events, both</w:t>
      </w:r>
      <w:r w:rsidR="00F31A18">
        <w:t xml:space="preserve">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2B4920">
        <w:t xml:space="preserve"> and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2B4920">
        <w:t xml:space="preserve"> </w:t>
      </w:r>
      <w:r w:rsidR="00EB03B0">
        <w:t>contribute to</w:t>
      </w:r>
      <w:r w:rsidR="00D13E8D">
        <w:t xml:space="preserve"> QG</w:t>
      </w:r>
      <w:r w:rsidR="00EB03B0">
        <w:t xml:space="preserve"> descent </w:t>
      </w:r>
      <w:r w:rsidR="00F31A18">
        <w:t>beneath</w:t>
      </w:r>
      <w:r w:rsidR="001A47B3">
        <w:t xml:space="preserve"> and on the poleward side of</w:t>
      </w:r>
      <w:r w:rsidR="00F31A18">
        <w:t xml:space="preserve"> </w:t>
      </w:r>
      <w:r w:rsidR="00EB03B0">
        <w:t xml:space="preserve">the </w:t>
      </w:r>
      <w:r w:rsidR="00B32DF4">
        <w:t xml:space="preserve">tropopause </w:t>
      </w:r>
      <w:r w:rsidR="004A424B">
        <w:t>height minimum</w:t>
      </w:r>
      <w:r w:rsidR="00EB03B0">
        <w:t xml:space="preserve"> </w:t>
      </w:r>
      <w:r w:rsidR="00B71DE0">
        <w:t>with</w:t>
      </w:r>
      <w:r w:rsidR="00D13E8D">
        <w:t>in</w:t>
      </w:r>
      <w:r w:rsidR="00EB03B0">
        <w:t xml:space="preserve"> the cross section</w:t>
      </w:r>
      <w:r w:rsidR="00E87F31">
        <w:t xml:space="preserve"> shown</w:t>
      </w:r>
      <w:r w:rsidR="00EB03B0">
        <w:t xml:space="preserve"> in</w:t>
      </w:r>
      <w:r w:rsidR="001C16C4">
        <w:t xml:space="preserve"> </w:t>
      </w:r>
      <w:r w:rsidR="00F31A18">
        <w:t>Fig. 1</w:t>
      </w:r>
      <w:r w:rsidR="00434418">
        <w:t>2</w:t>
      </w:r>
      <w:r w:rsidR="00F31A18">
        <w:t>b.</w:t>
      </w:r>
      <w:r w:rsidR="00EB03B0">
        <w:t xml:space="preserve"> </w:t>
      </w:r>
      <w:r w:rsidR="005C6C41">
        <w:t>Notably,</w:t>
      </w:r>
      <w:r w:rsidR="004A424B">
        <w:t xml:space="preserve"> the</w:t>
      </w:r>
      <w:r w:rsidR="00E87F31">
        <w:t xml:space="preserve">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E87F31">
        <w:t xml:space="preserve"> descent</w:t>
      </w:r>
      <w:r w:rsidR="001A47B3">
        <w:t xml:space="preserve"> maximum</w:t>
      </w:r>
      <w:r w:rsidR="00E87F31">
        <w:t xml:space="preserve"> is not focused </w:t>
      </w:r>
      <w:r w:rsidR="000B276F">
        <w:t>in close proximity to the</w:t>
      </w:r>
      <w:r w:rsidR="00E87F31">
        <w:t xml:space="preserve"> </w:t>
      </w:r>
      <w:r w:rsidR="00B32DF4">
        <w:t>tropopause height minimum</w:t>
      </w:r>
      <w:r w:rsidR="001A47B3">
        <w:t>,</w:t>
      </w:r>
      <w:r w:rsidR="00E87F31">
        <w:t xml:space="preserve"> as</w:t>
      </w:r>
      <w:r w:rsidR="001A47B3">
        <w:t xml:space="preserve"> it was</w:t>
      </w:r>
      <w:r w:rsidR="00E87F31">
        <w:t xml:space="preserve"> </w:t>
      </w:r>
      <w:r w:rsidR="005C6C41">
        <w:t>during</w:t>
      </w:r>
      <w:r w:rsidR="00E87F31">
        <w:t xml:space="preserve"> polar dominant events</w:t>
      </w:r>
      <w:r w:rsidR="001A47B3">
        <w:t xml:space="preserve"> </w:t>
      </w:r>
      <w:r w:rsidR="00E87F31">
        <w:t>(compare Figs. 1</w:t>
      </w:r>
      <w:r w:rsidR="00434418">
        <w:t>2</w:t>
      </w:r>
      <w:r w:rsidR="00E87F31">
        <w:t>b and 1</w:t>
      </w:r>
      <w:r w:rsidR="00434418">
        <w:t>1</w:t>
      </w:r>
      <w:r w:rsidR="00E87F31">
        <w:t>b)</w:t>
      </w:r>
      <w:r w:rsidR="001A47B3">
        <w:t xml:space="preserve">. The maximum in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E87F31">
        <w:t xml:space="preserve"> descent </w:t>
      </w:r>
      <w:r w:rsidR="001A47B3">
        <w:t xml:space="preserve">is focused </w:t>
      </w:r>
      <w:r w:rsidR="000B276F">
        <w:t>in close proximity to the</w:t>
      </w:r>
      <w:r w:rsidR="001A47B3">
        <w:t xml:space="preserve"> tropopause height minimum, however, which suggests that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1A47B3">
        <w:t xml:space="preserve"> descent</w:t>
      </w:r>
      <w:r w:rsidR="00DD5AF1">
        <w:t xml:space="preserve"> </w:t>
      </w:r>
      <w:r w:rsidR="000B5F29">
        <w:t>dominates the production</w:t>
      </w:r>
      <w:r w:rsidR="00DD5AF1">
        <w:t xml:space="preserve"> </w:t>
      </w:r>
      <w:r w:rsidR="000B5F29">
        <w:t>of</w:t>
      </w:r>
      <w:r w:rsidR="00E87F31">
        <w:t xml:space="preserve"> </w:t>
      </w:r>
      <w:r w:rsidR="00C81CD6">
        <w:t xml:space="preserve">downward </w:t>
      </w:r>
      <w:r w:rsidR="000B5F29">
        <w:t xml:space="preserve">PV </w:t>
      </w:r>
      <w:r w:rsidR="00C81CD6">
        <w:t xml:space="preserve">advection and the </w:t>
      </w:r>
      <w:r w:rsidR="00E87F31">
        <w:t>formation of</w:t>
      </w:r>
      <w:r w:rsidR="002C0495">
        <w:t xml:space="preserve"> a</w:t>
      </w:r>
      <w:r w:rsidR="00E87F31">
        <w:t xml:space="preserve"> steep, single-step tropopause structure</w:t>
      </w:r>
      <w:r w:rsidR="002C0495">
        <w:t xml:space="preserve"> </w:t>
      </w:r>
      <w:r w:rsidR="00A44E73">
        <w:t>within the cross section shown in Fig. 12b</w:t>
      </w:r>
      <w:r w:rsidR="00ED427D">
        <w:t>.</w:t>
      </w:r>
    </w:p>
    <w:p w14:paraId="127BABDA" w14:textId="3B708BC4" w:rsidR="00A63B49" w:rsidRDefault="00CF0973" w:rsidP="00507DD8">
      <w:pPr>
        <w:widowControl w:val="0"/>
        <w:spacing w:line="480" w:lineRule="auto"/>
      </w:pPr>
      <w:r>
        <w:tab/>
      </w:r>
      <w:r w:rsidR="00EC3EB5">
        <w:t>Similar to the other</w:t>
      </w:r>
      <w:r w:rsidR="00E90CA2">
        <w:t xml:space="preserve"> two</w:t>
      </w:r>
      <w:r w:rsidR="00EC3EB5">
        <w:t xml:space="preserve"> jet superposition event types, t</w:t>
      </w:r>
      <w:r>
        <w:t xml:space="preserve">he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t xml:space="preserve"> pattern during western subtropical dominant events </w:t>
      </w:r>
      <w:r w:rsidR="00DD5AF1">
        <w:t>features</w:t>
      </w:r>
      <w:r>
        <w:t xml:space="preserve"> </w:t>
      </w:r>
      <w:r w:rsidR="00D66867">
        <w:t xml:space="preserve">a dipole </w:t>
      </w:r>
      <w:r w:rsidR="008504F7">
        <w:t>with</w:t>
      </w:r>
      <w:r w:rsidR="00D66867">
        <w:t xml:space="preserve"> QG descent upstream of the jet superposition and QG ascent downstream of the superposition</w:t>
      </w:r>
      <w:r w:rsidR="00996FDF">
        <w:t xml:space="preserve"> (Fig. 1</w:t>
      </w:r>
      <w:r w:rsidR="00434418">
        <w:t>3</w:t>
      </w:r>
      <w:r w:rsidR="00996FDF">
        <w:t>a).</w:t>
      </w:r>
      <w:r w:rsidR="005155CB">
        <w:t xml:space="preserve"> </w:t>
      </w:r>
      <w:r w:rsidR="00996FDF">
        <w:t>T</w:t>
      </w:r>
      <w:r w:rsidR="00D66867">
        <w:t xml:space="preserve">he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D66867">
        <w:t xml:space="preserve"> pattern </w:t>
      </w:r>
      <w:r w:rsidR="00DD5AF1">
        <w:t>exhibits</w:t>
      </w:r>
      <w:r w:rsidR="00D66867">
        <w:t xml:space="preserve"> a quadrupole structure with a thermally direct circulation beneath the jet-entrance region and a thermally indirect circulation beneath the jet-exit region (Figs. 1</w:t>
      </w:r>
      <w:r w:rsidR="00434418">
        <w:t>3</w:t>
      </w:r>
      <w:r w:rsidR="00D66867">
        <w:t xml:space="preserve">a and </w:t>
      </w:r>
      <w:r w:rsidR="00434418">
        <w:t>2</w:t>
      </w:r>
      <w:r w:rsidR="00D66867">
        <w:t xml:space="preserve">e). </w:t>
      </w:r>
      <w:r w:rsidR="005665DA">
        <w:t>Consistent with polar and eastern subtropical dominant events, t</w:t>
      </w:r>
      <w:r w:rsidR="00316430">
        <w:t xml:space="preserve">he magnitude of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AB61FD">
        <w:t xml:space="preserve"> </w:t>
      </w:r>
      <w:r w:rsidR="00316430">
        <w:t>is larger</w:t>
      </w:r>
      <w:r w:rsidR="00E771A7">
        <w:t xml:space="preserve"> than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316430">
        <w:t xml:space="preserve"> </w:t>
      </w:r>
      <w:r w:rsidR="005C4307">
        <w:t>in the</w:t>
      </w:r>
      <w:r w:rsidR="00AB61FD">
        <w:t xml:space="preserve"> immediate</w:t>
      </w:r>
      <w:r w:rsidR="005C4307">
        <w:t xml:space="preserve"> </w:t>
      </w:r>
      <w:r w:rsidR="005C4307">
        <w:lastRenderedPageBreak/>
        <w:t xml:space="preserve">vicinity of </w:t>
      </w:r>
      <w:r w:rsidR="00977AB6">
        <w:t>western subtropical dominant events</w:t>
      </w:r>
      <w:r w:rsidR="00FF222D">
        <w:t xml:space="preserve"> (Fig. 1</w:t>
      </w:r>
      <w:r w:rsidR="00434418">
        <w:t>3</w:t>
      </w:r>
      <w:r w:rsidR="00FF222D">
        <w:t>a)</w:t>
      </w:r>
      <w:r w:rsidR="008F65BF">
        <w:t xml:space="preserve"> and</w:t>
      </w:r>
      <w:r w:rsidR="00E771A7">
        <w:t xml:space="preserve"> </w:t>
      </w:r>
      <w:r w:rsidR="008F65BF">
        <w:t>t</w:t>
      </w:r>
      <w:r w:rsidR="00C764FF">
        <w:t>he cross section shown in Fig. 1</w:t>
      </w:r>
      <w:r w:rsidR="00320761">
        <w:t>3</w:t>
      </w:r>
      <w:r w:rsidR="00C764FF">
        <w:t xml:space="preserve">b confirms that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C764FF">
        <w:t xml:space="preserve"> descent is larger in magnitude than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C764FF">
        <w:t xml:space="preserve"> descent beneath and on the poleward side of the tropopause height minimum</w:t>
      </w:r>
      <w:r w:rsidR="00DD5AF1">
        <w:t>. T</w:t>
      </w:r>
      <w:r w:rsidR="00C764FF">
        <w:t xml:space="preserve">he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A63B49">
        <w:t xml:space="preserve"> </w:t>
      </w:r>
      <w:r w:rsidR="00DD5AF1">
        <w:t>and</w:t>
      </w:r>
      <w:r w:rsidR="00A63B49">
        <w:t xml:space="preserve">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A63B49">
        <w:t xml:space="preserve"> </w:t>
      </w:r>
      <w:r w:rsidR="00C44395">
        <w:t>descent</w:t>
      </w:r>
      <w:r w:rsidR="00DD5AF1">
        <w:t xml:space="preserve"> maxima</w:t>
      </w:r>
      <w:r w:rsidR="00C44395">
        <w:t xml:space="preserve"> </w:t>
      </w:r>
      <w:r w:rsidR="00C764FF">
        <w:t xml:space="preserve">are both focused </w:t>
      </w:r>
      <w:r w:rsidR="000B276F">
        <w:t>in close proximity to the tropopause height minimum</w:t>
      </w:r>
      <w:r w:rsidR="00DD5AF1">
        <w:t>,</w:t>
      </w:r>
      <w:r w:rsidR="00316878">
        <w:t xml:space="preserve"> similar to polar dominant events,</w:t>
      </w:r>
      <w:r w:rsidR="00C764FF">
        <w:t xml:space="preserve"> </w:t>
      </w:r>
      <w:r w:rsidR="00DD5AF1">
        <w:t>which</w:t>
      </w:r>
      <w:r w:rsidR="00C764FF">
        <w:t xml:space="preserve"> suggests that both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C764FF">
        <w:t xml:space="preserve"> and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C764FF">
        <w:t xml:space="preserve"> contribute to the </w:t>
      </w:r>
      <w:r w:rsidR="00A63B49">
        <w:t xml:space="preserve">development of </w:t>
      </w:r>
      <w:r w:rsidR="00B71DE0">
        <w:t>the</w:t>
      </w:r>
      <w:r w:rsidR="00A63B49">
        <w:t xml:space="preserve"> steep, single-step tropopause structure</w:t>
      </w:r>
      <w:r w:rsidR="00320761">
        <w:t xml:space="preserve"> observed</w:t>
      </w:r>
      <w:r w:rsidR="008C573B">
        <w:t xml:space="preserve"> </w:t>
      </w:r>
      <w:r w:rsidR="00B71DE0">
        <w:t>during</w:t>
      </w:r>
      <w:r w:rsidR="008C573B">
        <w:t xml:space="preserve"> western subtropical dominant events</w:t>
      </w:r>
      <w:r w:rsidR="00A63B49">
        <w:t>.</w:t>
      </w:r>
    </w:p>
    <w:p w14:paraId="00B76B07" w14:textId="7FFD287E" w:rsidR="00276C00" w:rsidRDefault="00276C00" w:rsidP="00507DD8">
      <w:pPr>
        <w:widowControl w:val="0"/>
        <w:spacing w:line="480" w:lineRule="auto"/>
      </w:pPr>
      <w:r>
        <w:tab/>
      </w:r>
      <w:r w:rsidR="0051172B">
        <w:t>The contribution</w:t>
      </w:r>
      <w:r w:rsidR="00CE3DBA">
        <w:t>s</w:t>
      </w:r>
      <w:r w:rsidR="0051172B">
        <w:t xml:space="preserve"> of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B13218">
        <w:t xml:space="preserve"> and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B13218">
        <w:t xml:space="preserve"> </w:t>
      </w:r>
      <w:r w:rsidR="0051172B">
        <w:t xml:space="preserve">to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51172B">
        <w:t xml:space="preserve"> </w:t>
      </w:r>
      <w:r w:rsidR="00C0234D">
        <w:t xml:space="preserve">in the </w:t>
      </w:r>
      <w:r w:rsidR="00224F19">
        <w:t>vicinity of jet superpositions</w:t>
      </w:r>
      <w:r w:rsidR="00C0234D">
        <w:t xml:space="preserve"> </w:t>
      </w:r>
      <w:r w:rsidR="0051172B">
        <w:t>is</w:t>
      </w:r>
      <w:r w:rsidR="00A77261">
        <w:t xml:space="preserve"> further</w:t>
      </w:r>
      <w:r w:rsidR="0051172B">
        <w:t xml:space="preserve"> </w:t>
      </w:r>
      <w:r w:rsidR="00F56AD8">
        <w:t xml:space="preserve">evaluated </w:t>
      </w:r>
      <w:r w:rsidR="0051172B">
        <w:t>in Fig. 1</w:t>
      </w:r>
      <w:r w:rsidR="007A010C">
        <w:t>4</w:t>
      </w:r>
      <w:r w:rsidR="00E72D39">
        <w:t xml:space="preserve">. The </w:t>
      </w:r>
      <w:r w:rsidR="00231758">
        <w:t>right</w:t>
      </w:r>
      <w:r w:rsidR="00E72D39">
        <w:t>-hand side of</w:t>
      </w:r>
      <w:r w:rsidR="00D161B4">
        <w:t xml:space="preserve"> each panel in</w:t>
      </w:r>
      <w:r w:rsidR="00E72D39">
        <w:t xml:space="preserve"> Fig. 1</w:t>
      </w:r>
      <w:r w:rsidR="007A010C">
        <w:t>4</w:t>
      </w:r>
      <w:r w:rsidR="0051172B">
        <w:t xml:space="preserve"> depicts the area-averaged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51172B">
        <w:t xml:space="preserve"> ascent</w:t>
      </w:r>
      <w:r w:rsidR="00E72D39">
        <w:t xml:space="preserve"> </w:t>
      </w:r>
      <w:r w:rsidR="00E86DE7">
        <w:t xml:space="preserve">as a function of pressure </w:t>
      </w:r>
      <w:r w:rsidR="00816484">
        <w:t>across</w:t>
      </w:r>
      <w:r w:rsidR="00E72D39">
        <w:t xml:space="preserve"> all grid points</w:t>
      </w:r>
      <w:r w:rsidR="0051172B">
        <w:t xml:space="preserve"> downstream of </w:t>
      </w:r>
      <w:r w:rsidR="00D161B4">
        <w:t>each jet superposition event type</w:t>
      </w:r>
      <w:r w:rsidR="0051172B">
        <w:t xml:space="preserve"> </w:t>
      </w:r>
      <w:r w:rsidR="00E72D39">
        <w:t xml:space="preserve">with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E72D39">
        <w:t xml:space="preserve"> &lt; –0.5 dPa s</w:t>
      </w:r>
      <w:r w:rsidR="00E72D39" w:rsidRPr="00E72D39">
        <w:rPr>
          <w:vertAlign w:val="superscript"/>
        </w:rPr>
        <w:t>–1</w:t>
      </w:r>
      <w:r w:rsidR="00E72D39">
        <w:t xml:space="preserve">. The </w:t>
      </w:r>
      <w:r w:rsidR="00231758">
        <w:t>left</w:t>
      </w:r>
      <w:r w:rsidR="00E72D39">
        <w:t>-</w:t>
      </w:r>
      <w:r w:rsidR="00DD1C4B">
        <w:t>h</w:t>
      </w:r>
      <w:r w:rsidR="00E72D39">
        <w:t>and side of</w:t>
      </w:r>
      <w:r w:rsidR="00D161B4">
        <w:t xml:space="preserve"> each panel in</w:t>
      </w:r>
      <w:r w:rsidR="00E72D39">
        <w:t xml:space="preserve"> Fig. 1</w:t>
      </w:r>
      <w:r w:rsidR="007A010C">
        <w:t>4</w:t>
      </w:r>
      <w:r w:rsidR="00E72D39">
        <w:t xml:space="preserve"> depicts the area-averaged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E72D39">
        <w:t xml:space="preserve"> descent </w:t>
      </w:r>
      <w:r w:rsidR="00816484">
        <w:t>across</w:t>
      </w:r>
      <w:r w:rsidR="00E72D39">
        <w:t xml:space="preserve"> all </w:t>
      </w:r>
      <w:r w:rsidR="007931FB">
        <w:t>grid points</w:t>
      </w:r>
      <w:r w:rsidR="00E72D39">
        <w:t xml:space="preserve"> upstream of </w:t>
      </w:r>
      <w:r w:rsidR="00D161B4">
        <w:t>each jet superposition event type</w:t>
      </w:r>
      <w:r w:rsidR="00E72D39">
        <w:t xml:space="preserve"> with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E72D39">
        <w:t xml:space="preserve"> &gt; 0.5 dPa s</w:t>
      </w:r>
      <w:r w:rsidR="00E72D39" w:rsidRPr="00E72D39">
        <w:rPr>
          <w:vertAlign w:val="superscript"/>
        </w:rPr>
        <w:t>–1</w:t>
      </w:r>
      <w:r w:rsidR="00E72D39">
        <w:t>.</w:t>
      </w:r>
      <w:r w:rsidR="00F56AD8">
        <w:t xml:space="preserve"> The area-averaged </w:t>
      </w:r>
      <m:oMath>
        <m:sSub>
          <m:sSubPr>
            <m:ctrlPr>
              <w:rPr>
                <w:rFonts w:ascii="Cambria Math" w:hAnsi="Cambria Math"/>
                <w:i/>
              </w:rPr>
            </m:ctrlPr>
          </m:sSubPr>
          <m:e>
            <m:r>
              <w:rPr>
                <w:rFonts w:ascii="Cambria Math" w:hAnsi="Cambria Math"/>
              </w:rPr>
              <m:t>ω</m:t>
            </m:r>
          </m:e>
          <m:sub>
            <m:r>
              <w:rPr>
                <w:rFonts w:ascii="Cambria Math" w:hAnsi="Cambria Math"/>
              </w:rPr>
              <m:t>a</m:t>
            </m:r>
          </m:sub>
        </m:sSub>
        <m:r>
          <w:rPr>
            <w:rFonts w:ascii="Cambria Math" w:hAnsi="Cambria Math"/>
          </w:rPr>
          <m:t xml:space="preserve"> </m:t>
        </m:r>
      </m:oMath>
      <w:r w:rsidR="00B13218">
        <w:t>on</w:t>
      </w:r>
      <w:r w:rsidR="00F56AD8">
        <w:t xml:space="preserve"> a particular isobaric </w:t>
      </w:r>
      <w:r w:rsidR="00BE785F">
        <w:t>surface</w:t>
      </w:r>
      <w:r w:rsidR="00F56AD8">
        <w:t xml:space="preserve"> is also partitioned into </w:t>
      </w:r>
      <w:r w:rsidR="00B13218">
        <w:t>its</w:t>
      </w:r>
      <w:r w:rsidR="002B7B01">
        <w:t xml:space="preserve"> </w:t>
      </w:r>
      <w:r w:rsidR="00B13218">
        <w:t>contributions from</w:t>
      </w:r>
      <w:r w:rsidR="00325FE8">
        <w:t xml:space="preserve"> the area-averaged</w:t>
      </w:r>
      <w:r w:rsidR="00F56AD8">
        <w:t xml:space="preserve">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B13218">
        <w:t xml:space="preserve"> and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325FE8">
        <w:t xml:space="preserve">, which are calculated by averaging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325FE8">
        <w:t xml:space="preserve"> and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325FE8">
        <w:t xml:space="preserve"> over the same area on an isobaric surface used to compute the area-averaged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F56AD8">
        <w:t>.</w:t>
      </w:r>
    </w:p>
    <w:p w14:paraId="03F8E076" w14:textId="3A3D8B08" w:rsidR="00685538" w:rsidRDefault="00F56AD8" w:rsidP="00507DD8">
      <w:pPr>
        <w:widowControl w:val="0"/>
        <w:spacing w:line="480" w:lineRule="auto"/>
      </w:pPr>
      <w:r>
        <w:tab/>
      </w:r>
      <w:r w:rsidR="004F6FBF">
        <w:t>T</w:t>
      </w:r>
      <w:r>
        <w:t>he</w:t>
      </w:r>
      <w:r w:rsidR="0050520C">
        <w:t xml:space="preserve"> area-averaged</w:t>
      </w:r>
      <w:r>
        <w:t xml:space="preserve">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B13218">
        <w:t xml:space="preserve"> </w:t>
      </w:r>
      <w:r w:rsidR="00973F38">
        <w:t>is</w:t>
      </w:r>
      <w:r w:rsidR="007530A2">
        <w:t xml:space="preserve"> considerably larger</w:t>
      </w:r>
      <w:r w:rsidR="00CE3DBA">
        <w:t xml:space="preserve"> in magnitude </w:t>
      </w:r>
      <w:r w:rsidR="00973F38">
        <w:t>than</w:t>
      </w:r>
      <w:r w:rsidR="00BA0477">
        <w:t xml:space="preserve">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B13218">
        <w:t xml:space="preserve"> </w:t>
      </w:r>
      <w:r w:rsidR="006325B6">
        <w:t>on</w:t>
      </w:r>
      <w:r w:rsidR="0050520C">
        <w:t xml:space="preserve"> all isobaric </w:t>
      </w:r>
      <w:r w:rsidR="006325B6">
        <w:t>surfaces</w:t>
      </w:r>
      <w:r w:rsidR="00B13218">
        <w:t xml:space="preserve"> </w:t>
      </w:r>
      <w:r w:rsidR="006325B6">
        <w:t>for</w:t>
      </w:r>
      <w:r w:rsidR="00B13218">
        <w:t xml:space="preserve"> polar dominant events</w:t>
      </w:r>
      <w:r w:rsidR="004F6FBF">
        <w:t xml:space="preserve"> (Fig. 1</w:t>
      </w:r>
      <w:r w:rsidR="007A010C">
        <w:t>4</w:t>
      </w:r>
      <w:r w:rsidR="004F6FBF">
        <w:t>a)</w:t>
      </w:r>
      <w:r w:rsidR="00973F38">
        <w:t xml:space="preserve">. </w:t>
      </w:r>
      <w:r w:rsidR="00CE3DBA">
        <w:t xml:space="preserve">The dominance of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CE3DBA">
        <w:t xml:space="preserve"> during polar dominant events is associated with the presence of an amplified upper-tropospheric trough on the poleward side of the jet (Fig. </w:t>
      </w:r>
      <w:r w:rsidR="007A010C">
        <w:t>2</w:t>
      </w:r>
      <w:r w:rsidR="00CE3DBA">
        <w:t>a)</w:t>
      </w:r>
      <w:r w:rsidR="007530A2">
        <w:t xml:space="preserve">. The area-averaged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7530A2">
        <w:t xml:space="preserve"> </w:t>
      </w:r>
      <w:r w:rsidR="00BF3E48">
        <w:t xml:space="preserve">also </w:t>
      </w:r>
      <w:r w:rsidR="007530A2">
        <w:t>dominates</w:t>
      </w:r>
      <w:r w:rsidR="00BF3E48">
        <w:t xml:space="preserve">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7530A2">
        <w:t xml:space="preserve"> during western subtropical dominant events</w:t>
      </w:r>
      <w:r w:rsidR="00CE3DBA">
        <w:t xml:space="preserve"> (Fig. 1</w:t>
      </w:r>
      <w:r w:rsidR="007A010C">
        <w:t>4</w:t>
      </w:r>
      <w:r w:rsidR="00CE3DBA">
        <w:t>c)</w:t>
      </w:r>
      <w:r w:rsidR="00BF3E48">
        <w:t>,</w:t>
      </w:r>
      <w:r w:rsidR="007530A2">
        <w:t xml:space="preserve"> but not to the same degree as during polar dominant events</w:t>
      </w:r>
      <w:r w:rsidR="002E1897">
        <w:t xml:space="preserve"> (Fig. 1</w:t>
      </w:r>
      <w:r w:rsidR="007A010C">
        <w:t>4</w:t>
      </w:r>
      <w:r w:rsidR="00CE3DBA">
        <w:t>a</w:t>
      </w:r>
      <w:r w:rsidR="002E1897">
        <w:t>)</w:t>
      </w:r>
      <w:r w:rsidR="007530A2">
        <w:t xml:space="preserve">. </w:t>
      </w:r>
      <w:r w:rsidR="002E1897">
        <w:t xml:space="preserve">As </w:t>
      </w:r>
      <w:r w:rsidR="00BF3E48">
        <w:t>with</w:t>
      </w:r>
      <w:r w:rsidR="002E1897">
        <w:t xml:space="preserve"> polar dominant events, t</w:t>
      </w:r>
      <w:r w:rsidR="007530A2">
        <w:t xml:space="preserve">he dominance of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7530A2">
        <w:t xml:space="preserve"> during western subtropical dominant events </w:t>
      </w:r>
      <w:r w:rsidR="002E1897">
        <w:t>is associated with the</w:t>
      </w:r>
      <w:r w:rsidR="007530A2">
        <w:t xml:space="preserve"> </w:t>
      </w:r>
      <w:r w:rsidR="002E1897">
        <w:t>presence of an upper-tropospheric trough</w:t>
      </w:r>
      <w:r w:rsidR="00CE3DBA">
        <w:t xml:space="preserve"> </w:t>
      </w:r>
      <w:r w:rsidR="002E1897">
        <w:t xml:space="preserve">on the poleward side of the jet (Fig. </w:t>
      </w:r>
      <w:r w:rsidR="007A010C">
        <w:t>2</w:t>
      </w:r>
      <w:r w:rsidR="002E1897">
        <w:t>c)</w:t>
      </w:r>
      <w:r w:rsidR="00CE3DBA">
        <w:t>. Nevertheless</w:t>
      </w:r>
      <w:r w:rsidR="0060327E">
        <w:t>,</w:t>
      </w:r>
      <w:r w:rsidR="002E1897">
        <w:t xml:space="preserve"> </w:t>
      </w:r>
      <w:r w:rsidR="0060327E">
        <w:t>t</w:t>
      </w:r>
      <w:r w:rsidR="002E1897">
        <w:t>he upper-tropospheric flow pattern during western subtropical dominant events is not as amplified compared to polar dominant events</w:t>
      </w:r>
      <w:r w:rsidR="00355C9F">
        <w:t>,</w:t>
      </w:r>
      <w:r w:rsidR="002E1897">
        <w:t xml:space="preserve"> which may explain the reduced </w:t>
      </w:r>
      <w:r w:rsidR="00CE3DBA">
        <w:lastRenderedPageBreak/>
        <w:t>dominance</w:t>
      </w:r>
      <w:r w:rsidR="002E1897">
        <w:t xml:space="preserve"> of the area-averaged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2E1897">
        <w:t xml:space="preserve"> </w:t>
      </w:r>
      <w:r w:rsidR="00CE3DBA">
        <w:t xml:space="preserve">relative to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CE3DBA">
        <w:t xml:space="preserve"> </w:t>
      </w:r>
      <w:r w:rsidR="002E1897">
        <w:t xml:space="preserve">during western subtropical dominant events. </w:t>
      </w:r>
    </w:p>
    <w:p w14:paraId="406155F4" w14:textId="183C94EC" w:rsidR="00A621A2" w:rsidRDefault="00685538" w:rsidP="00507DD8">
      <w:pPr>
        <w:widowControl w:val="0"/>
        <w:spacing w:line="480" w:lineRule="auto"/>
      </w:pPr>
      <w:r>
        <w:tab/>
        <w:t>Whereas</w:t>
      </w:r>
      <w:r w:rsidR="002E1897">
        <w:t xml:space="preserve"> the area-averaged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2E1897">
        <w:t xml:space="preserve"> ascent dominates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60327E">
        <w:t xml:space="preserve"> ascent </w:t>
      </w:r>
      <w:r w:rsidR="002E1897">
        <w:t xml:space="preserve">during eastern subtropical dominant events, the area-averaged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2E1897">
        <w:t xml:space="preserve"> descent is of the same magnitude as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2E1897">
        <w:t xml:space="preserve"> descent below 500 hPa (Fig. 1</w:t>
      </w:r>
      <w:r w:rsidR="007A010C">
        <w:t>4</w:t>
      </w:r>
      <w:r w:rsidR="002E1897">
        <w:t>b).</w:t>
      </w:r>
      <w:r>
        <w:t xml:space="preserve"> The larger contribution </w:t>
      </w:r>
      <w:r w:rsidR="0060327E">
        <w:t>from</w:t>
      </w:r>
      <w:r>
        <w:t xml:space="preserve">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t xml:space="preserve"> descent during eastern subtropical dominant events</w:t>
      </w:r>
      <w:r w:rsidR="006C086E">
        <w:t xml:space="preserve"> compared to polar</w:t>
      </w:r>
      <w:r w:rsidR="00CE3DBA">
        <w:t xml:space="preserve"> dominant</w:t>
      </w:r>
      <w:r w:rsidR="006C086E">
        <w:t xml:space="preserve"> and western subtropical dominant events</w:t>
      </w:r>
      <w:r>
        <w:t xml:space="preserve"> </w:t>
      </w:r>
      <w:r w:rsidR="00CE3DBA">
        <w:t>may be attributed to two</w:t>
      </w:r>
      <w:r>
        <w:t xml:space="preserve"> factors. First, </w:t>
      </w:r>
      <w:r w:rsidR="00924E71">
        <w:t>the</w:t>
      </w:r>
      <w:r w:rsidR="00A81EB0">
        <w:t xml:space="preserve"> upper-tropospheric flow pattern is more amplified downstream of </w:t>
      </w:r>
      <w:r>
        <w:t>eastern subtropical dominant events</w:t>
      </w:r>
      <w:r w:rsidR="00A81EB0">
        <w:t xml:space="preserve"> </w:t>
      </w:r>
      <w:r w:rsidR="00577D3B">
        <w:t xml:space="preserve">(Fig. </w:t>
      </w:r>
      <w:r w:rsidR="007A010C">
        <w:t>2</w:t>
      </w:r>
      <w:r w:rsidR="00577D3B">
        <w:t>c</w:t>
      </w:r>
      <w:r w:rsidR="00A81EB0">
        <w:t>), whereas the strongest flow amplification occurs in the immediate vicinity of polar and western subtropical dominant events (Figs. 2a,e). The reduced flow amplification in the immediate vicinity of eastern subtropical dominant events subsequently</w:t>
      </w:r>
      <w:r w:rsidR="00577D3B">
        <w:t xml:space="preserve"> </w:t>
      </w:r>
      <w:r w:rsidR="00CE3DBA">
        <w:t>reduces</w:t>
      </w:r>
      <w:r w:rsidR="00577D3B">
        <w:t xml:space="preserve"> the contribution from</w:t>
      </w:r>
      <w:r w:rsidR="00CE3DBA">
        <w:t xml:space="preserve"> the area-averaged</w:t>
      </w:r>
      <w:r w:rsidR="00577D3B">
        <w:t xml:space="preserve">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D2035F">
        <w:t xml:space="preserve"> descent to the area-averaged </w:t>
      </w:r>
      <m:oMath>
        <m:sSub>
          <m:sSubPr>
            <m:ctrlPr>
              <w:rPr>
                <w:rFonts w:ascii="Cambria Math" w:hAnsi="Cambria Math"/>
                <w:i/>
              </w:rPr>
            </m:ctrlPr>
          </m:sSubPr>
          <m:e>
            <m:r>
              <w:rPr>
                <w:rFonts w:ascii="Cambria Math" w:hAnsi="Cambria Math"/>
              </w:rPr>
              <m:t>ω</m:t>
            </m:r>
          </m:e>
          <m:sub>
            <m:r>
              <w:rPr>
                <w:rFonts w:ascii="Cambria Math" w:hAnsi="Cambria Math"/>
              </w:rPr>
              <m:t>a</m:t>
            </m:r>
          </m:sub>
        </m:sSub>
      </m:oMath>
      <w:r w:rsidR="00A81EB0">
        <w:t xml:space="preserve"> </w:t>
      </w:r>
      <w:r w:rsidR="00D2035F">
        <w:t>descent (Fig. 1</w:t>
      </w:r>
      <w:r w:rsidR="007A010C">
        <w:t>4</w:t>
      </w:r>
      <w:r w:rsidR="00D2035F">
        <w:t>b)</w:t>
      </w:r>
      <w:r>
        <w:t xml:space="preserve">. Second, </w:t>
      </w:r>
      <w:r w:rsidR="007258D5">
        <w:t>eastern subtropical dominant events often form along the east coast of North America</w:t>
      </w:r>
      <w:r w:rsidR="00FF3A02">
        <w:t xml:space="preserve"> (Winters et al. 2020; their Fig. 4c)</w:t>
      </w:r>
      <w:r w:rsidR="007258D5">
        <w:t xml:space="preserve">. </w:t>
      </w:r>
      <w:r w:rsidR="006C086E">
        <w:t>Consequently</w:t>
      </w:r>
      <w:r w:rsidR="007258D5">
        <w:t>, eastern subtropical dominant events feature strong</w:t>
      </w:r>
      <w:r w:rsidR="00BD2829">
        <w:t>er</w:t>
      </w:r>
      <w:r w:rsidR="007258D5">
        <w:t xml:space="preserve"> tropospheric baroclinicity</w:t>
      </w:r>
      <w:r w:rsidR="00BD2829">
        <w:t xml:space="preserve"> than polar</w:t>
      </w:r>
      <w:r w:rsidR="00D2035F">
        <w:t xml:space="preserve"> dominant</w:t>
      </w:r>
      <w:r w:rsidR="00BD2829">
        <w:t xml:space="preserve"> and</w:t>
      </w:r>
      <w:r w:rsidR="00A93992">
        <w:t xml:space="preserve"> western</w:t>
      </w:r>
      <w:r w:rsidR="00BD2829">
        <w:t xml:space="preserve"> subtropical dominant events</w:t>
      </w:r>
      <w:r w:rsidR="007258D5">
        <w:t xml:space="preserve"> due to the juxtaposition of a cold continental air mass and a warm subtropical air mass beneath the jet</w:t>
      </w:r>
      <w:r w:rsidR="00C358C4">
        <w:t xml:space="preserve"> superposition</w:t>
      </w:r>
      <w:r w:rsidR="00BD2829">
        <w:t xml:space="preserve"> (compare</w:t>
      </w:r>
      <w:r w:rsidR="00100BAD">
        <w:t xml:space="preserve"> the baroclinicity in</w:t>
      </w:r>
      <w:r w:rsidR="00BD2829">
        <w:t xml:space="preserve"> Fig</w:t>
      </w:r>
      <w:r w:rsidR="00D2035F">
        <w:t xml:space="preserve">. </w:t>
      </w:r>
      <w:r w:rsidR="007A010C">
        <w:t>2</w:t>
      </w:r>
      <w:r w:rsidR="00D2035F">
        <w:t xml:space="preserve">d with Figs. </w:t>
      </w:r>
      <w:r w:rsidR="007A010C">
        <w:t>2</w:t>
      </w:r>
      <w:r w:rsidR="00BD2829">
        <w:t xml:space="preserve">b,f). </w:t>
      </w:r>
      <w:r w:rsidR="007258D5">
        <w:t>The</w:t>
      </w:r>
      <w:r w:rsidR="00D2035F">
        <w:t xml:space="preserve"> </w:t>
      </w:r>
      <w:r w:rsidR="001504F6">
        <w:t>development</w:t>
      </w:r>
      <w:r w:rsidR="00D2035F">
        <w:t xml:space="preserve"> of</w:t>
      </w:r>
      <w:r w:rsidR="007258D5">
        <w:t xml:space="preserve"> strong</w:t>
      </w:r>
      <w:r w:rsidR="00040970">
        <w:t>er</w:t>
      </w:r>
      <w:r w:rsidR="007258D5">
        <w:t xml:space="preserve"> baroclinicity</w:t>
      </w:r>
      <w:r w:rsidR="00706A65">
        <w:t xml:space="preserve"> during eastern subtropical dominant events</w:t>
      </w:r>
      <w:r w:rsidR="00D2035F">
        <w:t xml:space="preserve"> results in</w:t>
      </w:r>
      <w:r w:rsidR="007258D5">
        <w:t xml:space="preserve"> a</w:t>
      </w:r>
      <w:r w:rsidR="00040970">
        <w:t xml:space="preserve"> vigorous</w:t>
      </w:r>
      <w:r w:rsidR="007258D5">
        <w:t xml:space="preserve"> across-front ageostrophic circulation</w:t>
      </w:r>
      <w:r w:rsidR="000F7B62">
        <w:t xml:space="preserve"> and</w:t>
      </w:r>
      <w:r w:rsidR="007258D5">
        <w:t xml:space="preserve"> a comparatively larger </w:t>
      </w:r>
      <w:r w:rsidR="00706A65">
        <w:t>contribution to</w:t>
      </w:r>
      <w:r w:rsidR="007258D5">
        <w:t xml:space="preserve"> QG descent </w:t>
      </w:r>
      <w:r w:rsidR="00706A65">
        <w:t>from</w:t>
      </w:r>
      <w:r w:rsidR="007258D5">
        <w:t xml:space="preserve">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7258D5">
        <w:t xml:space="preserve"> beneath the jet-entrance region of eastern subtropical dominant events.</w:t>
      </w:r>
    </w:p>
    <w:p w14:paraId="191C7B2F" w14:textId="77777777" w:rsidR="002A2E4A" w:rsidRDefault="002A2E4A" w:rsidP="00247A72">
      <w:pPr>
        <w:widowControl w:val="0"/>
        <w:spacing w:line="480" w:lineRule="auto"/>
        <w:rPr>
          <w:b/>
        </w:rPr>
      </w:pPr>
    </w:p>
    <w:p w14:paraId="5A63F88F" w14:textId="5C4D35F9" w:rsidR="008E4B22" w:rsidRPr="00797464" w:rsidRDefault="009B0282" w:rsidP="00247A72">
      <w:pPr>
        <w:widowControl w:val="0"/>
        <w:spacing w:line="480" w:lineRule="auto"/>
        <w:rPr>
          <w:b/>
        </w:rPr>
      </w:pPr>
      <w:r>
        <w:rPr>
          <w:b/>
        </w:rPr>
        <w:t xml:space="preserve">5.  </w:t>
      </w:r>
      <w:r w:rsidR="00B21A64">
        <w:rPr>
          <w:b/>
        </w:rPr>
        <w:t>Summary</w:t>
      </w:r>
      <w:r>
        <w:rPr>
          <w:b/>
        </w:rPr>
        <w:t xml:space="preserve"> </w:t>
      </w:r>
      <w:r w:rsidR="007E06F7">
        <w:tab/>
      </w:r>
    </w:p>
    <w:p w14:paraId="3600E7A9" w14:textId="2D0746FD" w:rsidR="003F0114" w:rsidRDefault="00B752DE" w:rsidP="00247A72">
      <w:pPr>
        <w:widowControl w:val="0"/>
        <w:spacing w:line="480" w:lineRule="auto"/>
      </w:pPr>
      <w:r>
        <w:tab/>
      </w:r>
      <w:r w:rsidR="00B945BF">
        <w:t>The development of</w:t>
      </w:r>
      <w:r w:rsidR="00DF5E1D">
        <w:t xml:space="preserve"> </w:t>
      </w:r>
      <w:r w:rsidR="004A17C2">
        <w:t>North American</w:t>
      </w:r>
      <w:r>
        <w:t xml:space="preserve"> jet superposition</w:t>
      </w:r>
      <w:r w:rsidR="00CD41DE">
        <w:t>s</w:t>
      </w:r>
      <w:r>
        <w:t xml:space="preserve"> </w:t>
      </w:r>
      <w:r w:rsidR="00DB4E0B">
        <w:t>is</w:t>
      </w:r>
      <w:r w:rsidR="00B945BF">
        <w:t xml:space="preserve"> conceptualized by Winters and Martin (2017)</w:t>
      </w:r>
      <w:r w:rsidR="005E2AF8">
        <w:t xml:space="preserve"> and Winters et al. (2020)</w:t>
      </w:r>
      <w:r w:rsidR="00B945BF">
        <w:t xml:space="preserve"> as</w:t>
      </w:r>
      <w:r>
        <w:t xml:space="preserve"> the juxtaposition of</w:t>
      </w:r>
      <w:r w:rsidR="00402CBA">
        <w:t xml:space="preserve"> a</w:t>
      </w:r>
      <w:r>
        <w:t xml:space="preserve"> polar cyclonic and tropical anticyclonic PV anomal</w:t>
      </w:r>
      <w:r w:rsidR="00402CBA">
        <w:t>y</w:t>
      </w:r>
      <w:r>
        <w:t xml:space="preserve"> </w:t>
      </w:r>
      <w:r w:rsidR="008E751D">
        <w:t>with</w:t>
      </w:r>
      <w:r>
        <w:t>in the upper-troposphere.</w:t>
      </w:r>
      <w:r w:rsidR="003F0114">
        <w:t xml:space="preserve"> </w:t>
      </w:r>
      <w:r>
        <w:t xml:space="preserve">This juxtaposition </w:t>
      </w:r>
      <w:r w:rsidR="009B25F9">
        <w:t>leads to</w:t>
      </w:r>
      <w:r>
        <w:t xml:space="preserve"> </w:t>
      </w:r>
      <w:r w:rsidR="00C77450">
        <w:t>the</w:t>
      </w:r>
      <w:r w:rsidR="00402CBA">
        <w:t xml:space="preserve"> </w:t>
      </w:r>
      <w:r w:rsidR="00C77450">
        <w:t>addition</w:t>
      </w:r>
      <w:r>
        <w:t xml:space="preserve"> </w:t>
      </w:r>
      <w:r>
        <w:lastRenderedPageBreak/>
        <w:t xml:space="preserve">of the nondivergent circulations induced by </w:t>
      </w:r>
      <w:r w:rsidR="00402CBA">
        <w:t>each</w:t>
      </w:r>
      <w:r>
        <w:t xml:space="preserve"> PV anomal</w:t>
      </w:r>
      <w:r w:rsidR="00402CBA">
        <w:t xml:space="preserve">y </w:t>
      </w:r>
      <w:r>
        <w:t xml:space="preserve">and the </w:t>
      </w:r>
      <w:r w:rsidR="00C77450">
        <w:t xml:space="preserve">development </w:t>
      </w:r>
      <w:r w:rsidR="00746DC1">
        <w:t>of</w:t>
      </w:r>
      <w:r w:rsidR="002D0845">
        <w:t xml:space="preserve"> strong wind speeds</w:t>
      </w:r>
      <w:r w:rsidR="00AA6B0E">
        <w:t xml:space="preserve"> at the location of jet superposition</w:t>
      </w:r>
      <w:r>
        <w:t xml:space="preserve">. </w:t>
      </w:r>
      <w:r w:rsidR="00831D45">
        <w:t>O</w:t>
      </w:r>
      <w:r>
        <w:t>nce the</w:t>
      </w:r>
      <w:r w:rsidR="00050350">
        <w:t xml:space="preserve"> </w:t>
      </w:r>
      <w:r w:rsidR="00FF2148">
        <w:t>respective</w:t>
      </w:r>
      <w:r>
        <w:t xml:space="preserve"> PV anomalies are juxtaposed, vertical motion within the near-jet environment</w:t>
      </w:r>
      <w:r w:rsidR="00E53F59">
        <w:t xml:space="preserve"> contribute</w:t>
      </w:r>
      <w:r w:rsidR="00DF5E1D">
        <w:t>s</w:t>
      </w:r>
      <w:r w:rsidR="00B07220">
        <w:t xml:space="preserve"> substantially</w:t>
      </w:r>
      <w:r>
        <w:t xml:space="preserve"> to the development of </w:t>
      </w:r>
      <w:r w:rsidR="00D561FA">
        <w:t>a</w:t>
      </w:r>
      <w:r>
        <w:t xml:space="preserve"> steep, single</w:t>
      </w:r>
      <w:r w:rsidR="00F1615F">
        <w:t>-</w:t>
      </w:r>
      <w:r>
        <w:t>step tropopause</w:t>
      </w:r>
      <w:r w:rsidR="00C148C1">
        <w:t xml:space="preserve"> structure</w:t>
      </w:r>
      <w:r>
        <w:t xml:space="preserve"> </w:t>
      </w:r>
      <w:r w:rsidR="002676F7">
        <w:t>(Winters and Martin 2016, 2017; Handlos et al. 2016; Winters et al. 2020).</w:t>
      </w:r>
      <w:r w:rsidR="00A1799B">
        <w:t xml:space="preserve"> </w:t>
      </w:r>
      <w:r w:rsidR="0040181B">
        <w:t>T</w:t>
      </w:r>
      <w:r w:rsidR="004C0C3F">
        <w:t xml:space="preserve">he </w:t>
      </w:r>
      <w:r w:rsidR="001378F3">
        <w:t>influence of</w:t>
      </w:r>
      <w:r w:rsidR="004C0C3F">
        <w:t xml:space="preserve"> vertical motion during</w:t>
      </w:r>
      <w:r w:rsidR="004A17C2">
        <w:t xml:space="preserve"> the development of</w:t>
      </w:r>
      <w:r w:rsidR="00797464">
        <w:t xml:space="preserve"> jet </w:t>
      </w:r>
      <w:r w:rsidR="004C0C3F">
        <w:t>superpositions</w:t>
      </w:r>
      <w:r w:rsidR="00177909">
        <w:t xml:space="preserve"> </w:t>
      </w:r>
      <w:r w:rsidR="002676F7">
        <w:t>motivate</w:t>
      </w:r>
      <w:r w:rsidR="006B1800">
        <w:t>s</w:t>
      </w:r>
      <w:r w:rsidR="00251E2F">
        <w:t xml:space="preserve"> two </w:t>
      </w:r>
      <w:r w:rsidR="00B3253A">
        <w:t>analyses performed</w:t>
      </w:r>
      <w:r w:rsidR="001F200D">
        <w:t xml:space="preserve"> on jet superposition events</w:t>
      </w:r>
      <w:r w:rsidR="00251E2F">
        <w:t xml:space="preserve"> </w:t>
      </w:r>
      <w:r w:rsidR="001F200D">
        <w:t>in</w:t>
      </w:r>
      <w:r w:rsidR="00251E2F">
        <w:t xml:space="preserve"> this study</w:t>
      </w:r>
      <w:r w:rsidR="001E0D20">
        <w:t xml:space="preserve">. </w:t>
      </w:r>
      <w:r w:rsidR="00251E2F">
        <w:t>First</w:t>
      </w:r>
      <w:r w:rsidR="001E0D20">
        <w:t>, this study</w:t>
      </w:r>
      <w:r w:rsidR="00350281">
        <w:t xml:space="preserve"> utilizes piecewise QGPV inversion to</w:t>
      </w:r>
      <w:r w:rsidR="00660413">
        <w:t xml:space="preserve"> </w:t>
      </w:r>
      <w:r w:rsidR="001E0D20">
        <w:t>quantif</w:t>
      </w:r>
      <w:r w:rsidR="00350281">
        <w:t>y</w:t>
      </w:r>
      <w:r w:rsidR="007025C0">
        <w:t xml:space="preserve"> the</w:t>
      </w:r>
      <w:r w:rsidR="00667222">
        <w:t xml:space="preserve"> relative</w:t>
      </w:r>
      <w:r w:rsidR="007025C0">
        <w:t xml:space="preserve"> influence </w:t>
      </w:r>
      <w:r w:rsidR="004C0C3F">
        <w:t xml:space="preserve">of polar cyclonic and tropical anticyclonic PV anomalies on the </w:t>
      </w:r>
      <w:r w:rsidR="003F0114">
        <w:t>production</w:t>
      </w:r>
      <w:r w:rsidR="004C0C3F">
        <w:t xml:space="preserve"> of vertical motion </w:t>
      </w:r>
      <w:r w:rsidR="00AE4DC4">
        <w:t>with</w:t>
      </w:r>
      <w:r w:rsidR="004C0C3F">
        <w:t xml:space="preserve">in the </w:t>
      </w:r>
      <w:r w:rsidR="00D07A84">
        <w:t>near-jet environment</w:t>
      </w:r>
      <w:r w:rsidR="00251E2F">
        <w:t xml:space="preserve">. Second, </w:t>
      </w:r>
      <w:r w:rsidR="00350281">
        <w:t xml:space="preserve">the </w:t>
      </w:r>
      <w:r w:rsidR="00350281" w:rsidRPr="001C2A70">
        <w:rPr>
          <w:b/>
          <w:i/>
        </w:rPr>
        <w:t>Q</w:t>
      </w:r>
      <w:r w:rsidR="00350281">
        <w:t xml:space="preserve"> vector</w:t>
      </w:r>
      <w:r w:rsidR="00251E2F">
        <w:t xml:space="preserve"> </w:t>
      </w:r>
      <w:r w:rsidR="00350281">
        <w:t>is partitioned into an along-</w:t>
      </w:r>
      <w:r w:rsidR="00453342">
        <w:t>isotherm (</w:t>
      </w:r>
      <w:r w:rsidR="00453342" w:rsidRPr="001C2A70">
        <w:rPr>
          <w:b/>
          <w:i/>
        </w:rPr>
        <w:t>Q</w:t>
      </w:r>
      <w:r w:rsidR="00453342" w:rsidRPr="00453342">
        <w:rPr>
          <w:b/>
          <w:i/>
          <w:vertAlign w:val="subscript"/>
        </w:rPr>
        <w:t>s</w:t>
      </w:r>
      <w:r w:rsidR="00453342">
        <w:t>)</w:t>
      </w:r>
      <w:r w:rsidR="00350281">
        <w:t xml:space="preserve"> and across-isotherm</w:t>
      </w:r>
      <w:r w:rsidR="00453342">
        <w:t xml:space="preserve"> (</w:t>
      </w:r>
      <w:r w:rsidR="00453342" w:rsidRPr="001C2A70">
        <w:rPr>
          <w:b/>
          <w:i/>
        </w:rPr>
        <w:t>Q</w:t>
      </w:r>
      <w:r w:rsidR="00453342">
        <w:rPr>
          <w:b/>
          <w:i/>
          <w:vertAlign w:val="subscript"/>
        </w:rPr>
        <w:t>n</w:t>
      </w:r>
      <w:r w:rsidR="00453342">
        <w:t>)</w:t>
      </w:r>
      <w:r w:rsidR="00350281">
        <w:t xml:space="preserve"> component to </w:t>
      </w:r>
      <w:r w:rsidR="00251E2F">
        <w:t>quantif</w:t>
      </w:r>
      <w:r w:rsidR="00350281">
        <w:t>y</w:t>
      </w:r>
      <w:r w:rsidR="004C0C3F">
        <w:t xml:space="preserve"> </w:t>
      </w:r>
      <w:r w:rsidR="003F0114">
        <w:t xml:space="preserve">the extent to which vertical motion in the </w:t>
      </w:r>
      <w:r w:rsidR="007C728D">
        <w:t>near-jet environment</w:t>
      </w:r>
      <w:r w:rsidR="003F0114">
        <w:t xml:space="preserve"> </w:t>
      </w:r>
      <w:r w:rsidR="00B843A2">
        <w:t>is</w:t>
      </w:r>
      <w:r w:rsidR="003F0114">
        <w:t xml:space="preserve"> associated</w:t>
      </w:r>
      <w:r w:rsidR="00350281">
        <w:t xml:space="preserve"> with synoptic-scale waves or frontal circulations in the vicinity of the jet</w:t>
      </w:r>
      <w:r w:rsidR="00453342">
        <w:t>, respectively</w:t>
      </w:r>
      <w:r w:rsidR="00D10842">
        <w:t>.</w:t>
      </w:r>
      <w:r w:rsidR="003F0114">
        <w:t xml:space="preserve">  </w:t>
      </w:r>
    </w:p>
    <w:p w14:paraId="0A5EC5A7" w14:textId="429BB4D6" w:rsidR="008E4B22" w:rsidRDefault="00386643" w:rsidP="00247A72">
      <w:pPr>
        <w:widowControl w:val="0"/>
        <w:spacing w:line="480" w:lineRule="auto"/>
      </w:pPr>
      <w:r>
        <w:tab/>
        <w:t xml:space="preserve">The </w:t>
      </w:r>
      <w:r w:rsidR="00F1615F">
        <w:t>present study</w:t>
      </w:r>
      <w:r w:rsidR="0098504C">
        <w:t xml:space="preserve"> </w:t>
      </w:r>
      <w:r w:rsidR="004A17C2">
        <w:t>reveals</w:t>
      </w:r>
      <w:r w:rsidR="0098504C">
        <w:t xml:space="preserve"> that</w:t>
      </w:r>
      <w:r w:rsidR="001027EE">
        <w:t xml:space="preserve"> </w:t>
      </w:r>
      <w:r w:rsidR="00177CC7">
        <w:t>the</w:t>
      </w:r>
      <w:r w:rsidR="00A70F9F">
        <w:t xml:space="preserve"> QG</w:t>
      </w:r>
      <w:r w:rsidR="00177CC7">
        <w:t xml:space="preserve"> </w:t>
      </w:r>
      <w:r w:rsidR="0098504C">
        <w:t>vertical motion</w:t>
      </w:r>
      <w:r w:rsidR="00177CC7">
        <w:t xml:space="preserve"> </w:t>
      </w:r>
      <w:r w:rsidR="0098504C">
        <w:t>in the</w:t>
      </w:r>
      <w:r w:rsidR="00CC22FD">
        <w:t xml:space="preserve"> </w:t>
      </w:r>
      <w:r w:rsidR="0098504C">
        <w:t xml:space="preserve">vicinity of </w:t>
      </w:r>
      <w:r w:rsidR="00EA6F82">
        <w:t xml:space="preserve">polar dominant, eastern subtropical dominant, and western subtropical dominant </w:t>
      </w:r>
      <w:r w:rsidR="0098504C">
        <w:t xml:space="preserve">jet superpositions </w:t>
      </w:r>
      <w:r w:rsidR="00EA6F82">
        <w:t>is</w:t>
      </w:r>
      <w:r w:rsidR="0071568C">
        <w:t xml:space="preserve"> associated </w:t>
      </w:r>
      <w:r w:rsidR="009A0BE7">
        <w:t>predominantly</w:t>
      </w:r>
      <w:r w:rsidR="0071568C">
        <w:t xml:space="preserve"> with</w:t>
      </w:r>
      <w:r w:rsidR="001027EE">
        <w:t xml:space="preserve"> the geostrophic </w:t>
      </w:r>
      <w:r w:rsidR="004A17C2">
        <w:t>wind</w:t>
      </w:r>
      <w:r w:rsidR="001027EE">
        <w:t xml:space="preserve"> induced by </w:t>
      </w:r>
      <w:r w:rsidR="0098504C">
        <w:t>polar cyclonic QGPV anomalies</w:t>
      </w:r>
      <w:r w:rsidR="00054378">
        <w:t xml:space="preserve"> and</w:t>
      </w:r>
      <w:r w:rsidR="002426F3">
        <w:t>, in particular,</w:t>
      </w:r>
      <w:r w:rsidR="001027EE">
        <w:t xml:space="preserve"> </w:t>
      </w:r>
      <w:r w:rsidR="00FF79CC">
        <w:t>the</w:t>
      </w:r>
      <w:r w:rsidR="00426231">
        <w:t xml:space="preserve"> </w:t>
      </w:r>
      <w:r w:rsidR="001027EE">
        <w:t>interaction</w:t>
      </w:r>
      <w:r w:rsidR="00426231">
        <w:t>s</w:t>
      </w:r>
      <w:r w:rsidR="00B67AC2">
        <w:t xml:space="preserve"> between that geostrophic wind</w:t>
      </w:r>
      <w:r w:rsidR="00AE4DC4">
        <w:t xml:space="preserve"> field</w:t>
      </w:r>
      <w:r w:rsidR="00B560D0">
        <w:t xml:space="preserve"> </w:t>
      </w:r>
      <w:r w:rsidR="001A4400">
        <w:t>with</w:t>
      </w:r>
      <w:r w:rsidR="001027EE">
        <w:t xml:space="preserve"> the</w:t>
      </w:r>
      <w:r w:rsidR="00426231">
        <w:t xml:space="preserve"> mean</w:t>
      </w:r>
      <w:r w:rsidR="001027EE">
        <w:t xml:space="preserve"> temperature </w:t>
      </w:r>
      <w:r w:rsidR="00EA6F82">
        <w:t xml:space="preserve">pattern </w:t>
      </w:r>
      <w:r w:rsidR="00426231">
        <w:t xml:space="preserve">and the </w:t>
      </w:r>
      <w:r w:rsidR="00EE06F5">
        <w:t xml:space="preserve">perturbation </w:t>
      </w:r>
      <w:r w:rsidR="00426231">
        <w:t xml:space="preserve">temperature </w:t>
      </w:r>
      <w:r w:rsidR="00EA6F82">
        <w:t>pattern</w:t>
      </w:r>
      <w:r w:rsidR="00426231">
        <w:t xml:space="preserve"> </w:t>
      </w:r>
      <w:r w:rsidR="00FC2507">
        <w:t>associated with</w:t>
      </w:r>
      <w:r w:rsidR="00402C94">
        <w:t xml:space="preserve"> polar cyclonic QGPV anomalies</w:t>
      </w:r>
      <w:r w:rsidR="00CC22FD">
        <w:t>.</w:t>
      </w:r>
      <w:r w:rsidR="00271758">
        <w:t xml:space="preserve"> </w:t>
      </w:r>
      <w:r w:rsidR="009A0BE7">
        <w:t xml:space="preserve">This result </w:t>
      </w:r>
      <w:r w:rsidR="008A3704">
        <w:t>indicate</w:t>
      </w:r>
      <w:r w:rsidR="009A0BE7">
        <w:t>s</w:t>
      </w:r>
      <w:r w:rsidR="00626189">
        <w:t xml:space="preserve"> </w:t>
      </w:r>
      <w:r w:rsidR="00177CC7">
        <w:t xml:space="preserve">that </w:t>
      </w:r>
      <w:r w:rsidR="00EA6F82">
        <w:t>polar cyclonic QGPV anomalies</w:t>
      </w:r>
      <w:r w:rsidR="003F0114">
        <w:t xml:space="preserve"> </w:t>
      </w:r>
      <w:r w:rsidR="00177CC7">
        <w:t>are</w:t>
      </w:r>
      <w:r w:rsidR="00417792">
        <w:t xml:space="preserve"> </w:t>
      </w:r>
      <w:r w:rsidR="00EA6F82">
        <w:t>essential to</w:t>
      </w:r>
      <w:r w:rsidR="00177CC7">
        <w:t xml:space="preserve"> the jet superposition process</w:t>
      </w:r>
      <w:r w:rsidR="00EA6F82">
        <w:t xml:space="preserve"> </w:t>
      </w:r>
      <w:r w:rsidR="0031502F">
        <w:t xml:space="preserve">from the standpoint that </w:t>
      </w:r>
      <w:r w:rsidR="00CF17AA">
        <w:t>their associated vertical motion patterns contribute substantially to</w:t>
      </w:r>
      <w:r w:rsidR="0031502F">
        <w:t xml:space="preserve"> the</w:t>
      </w:r>
      <w:r w:rsidR="00402C94">
        <w:t xml:space="preserve"> </w:t>
      </w:r>
      <w:r w:rsidR="005900C1">
        <w:t xml:space="preserve">production of a steep, single-step tropopause structure during </w:t>
      </w:r>
      <w:r w:rsidR="00EA6F82">
        <w:t>the three</w:t>
      </w:r>
      <w:r w:rsidR="005900C1">
        <w:t xml:space="preserve"> </w:t>
      </w:r>
      <w:r w:rsidR="00A9231E">
        <w:t xml:space="preserve">jet superposition </w:t>
      </w:r>
      <w:r w:rsidR="005900C1">
        <w:t>event types</w:t>
      </w:r>
      <w:r w:rsidR="00EA6F82">
        <w:t xml:space="preserve"> considered in this study</w:t>
      </w:r>
      <w:r w:rsidR="00AA158E">
        <w:t>.</w:t>
      </w:r>
      <w:r w:rsidR="009A0BE7">
        <w:t xml:space="preserve"> </w:t>
      </w:r>
      <w:r w:rsidR="00AE4DC4">
        <w:t>T</w:t>
      </w:r>
      <w:r w:rsidR="009A0BE7">
        <w:t xml:space="preserve">he </w:t>
      </w:r>
      <w:r w:rsidR="00FE7CE4">
        <w:t xml:space="preserve">strong influence </w:t>
      </w:r>
      <w:r w:rsidR="009A0BE7">
        <w:t xml:space="preserve">of </w:t>
      </w:r>
      <w:r w:rsidR="006E4E52">
        <w:t>polar cyclonic QGPV anomalies</w:t>
      </w:r>
      <w:r w:rsidR="00D561FA">
        <w:t xml:space="preserve"> </w:t>
      </w:r>
      <w:r w:rsidR="00D71B4E">
        <w:t>on the development of</w:t>
      </w:r>
      <w:r w:rsidR="00D561FA">
        <w:t xml:space="preserve"> jet superposition events </w:t>
      </w:r>
      <w:r w:rsidR="00FE7CE4">
        <w:t>complements prior</w:t>
      </w:r>
      <w:r w:rsidR="00D561FA">
        <w:t xml:space="preserve"> case study</w:t>
      </w:r>
      <w:r w:rsidR="00907A9E">
        <w:t xml:space="preserve"> </w:t>
      </w:r>
      <w:r w:rsidR="00FE7CE4">
        <w:t>work</w:t>
      </w:r>
      <w:r w:rsidR="00907A9E">
        <w:t xml:space="preserve"> </w:t>
      </w:r>
      <w:r w:rsidR="00D561FA">
        <w:t>highlighting</w:t>
      </w:r>
      <w:r w:rsidR="00FE7CE4">
        <w:t xml:space="preserve"> the</w:t>
      </w:r>
      <w:r w:rsidR="00AE4DC4">
        <w:t xml:space="preserve"> substantial</w:t>
      </w:r>
      <w:r w:rsidR="00FE7CE4">
        <w:t xml:space="preserve"> </w:t>
      </w:r>
      <w:r w:rsidR="000D35DD">
        <w:t>impact</w:t>
      </w:r>
      <w:r w:rsidR="00FE7CE4">
        <w:t xml:space="preserve"> of</w:t>
      </w:r>
      <w:r w:rsidR="00622589">
        <w:t xml:space="preserve"> coherent tropopause disturbances</w:t>
      </w:r>
      <w:r w:rsidR="00FE7CE4">
        <w:t xml:space="preserve"> </w:t>
      </w:r>
      <w:r w:rsidR="009A0BE7">
        <w:t>on the</w:t>
      </w:r>
      <w:r w:rsidR="000D35DD">
        <w:t xml:space="preserve"> </w:t>
      </w:r>
      <w:r w:rsidR="009A0BE7">
        <w:t>evolution of</w:t>
      </w:r>
      <w:r w:rsidR="00CC0716">
        <w:t xml:space="preserve"> </w:t>
      </w:r>
      <w:r w:rsidR="00DC51D9">
        <w:t>baroclinic</w:t>
      </w:r>
      <w:r w:rsidR="009A0BE7">
        <w:t xml:space="preserve"> </w:t>
      </w:r>
      <w:r w:rsidR="00DC51D9">
        <w:t xml:space="preserve">waves at </w:t>
      </w:r>
      <w:r w:rsidR="00DC51D9">
        <w:lastRenderedPageBreak/>
        <w:t xml:space="preserve">middle latitudes </w:t>
      </w:r>
      <w:r w:rsidR="009A0BE7">
        <w:t>(e.g., Davis and Emanuel 1991; Hakim et al. 1996; Wandishin et al. 2000; Pyle et al. 2004; Winters et al. 2017).</w:t>
      </w:r>
    </w:p>
    <w:p w14:paraId="3381AC4A" w14:textId="62A2D767" w:rsidR="001D1016" w:rsidRDefault="00626189" w:rsidP="00247A72">
      <w:pPr>
        <w:widowControl w:val="0"/>
        <w:spacing w:line="480" w:lineRule="auto"/>
      </w:pPr>
      <w:r>
        <w:tab/>
      </w:r>
      <w:r w:rsidR="00054378">
        <w:t>While the</w:t>
      </w:r>
      <w:r w:rsidR="00595251">
        <w:t xml:space="preserve"> QG vertical motion in the vicinity of polar dominant, eastern subtropical dominant</w:t>
      </w:r>
      <w:r w:rsidR="00943085">
        <w:t>, and western subtropical dominant jet superpositions is associated primarily with the geostrophic wind induced by polar cyclonic QGPV anomalies, the QG vertical motion associated with</w:t>
      </w:r>
      <w:r w:rsidR="000909B4">
        <w:t xml:space="preserve"> the mid and upper-tropospheric b</w:t>
      </w:r>
      <w:r w:rsidR="00FA6DE1">
        <w:t>aroclinicity induced by</w:t>
      </w:r>
      <w:r w:rsidR="00943085">
        <w:t xml:space="preserve"> tropical anticyclonic QGPV anomalies is nonnegli</w:t>
      </w:r>
      <w:r w:rsidR="00B30238">
        <w:t>gi</w:t>
      </w:r>
      <w:r w:rsidR="00943085">
        <w:t xml:space="preserve">ble. Specifically, the presence of tropical anticyclonic QGPV anomalies in the vicinity of eastern and western subtropical dominant jet superpositions strengthens the mid and upper-tropospheric temperature gradient, such that the interaction between the geostrophic wind induced by polar cyclonic QGPV anomalies with the strengthened temperature gradient contributes to the production of QG vertical motion during these aforementioned jet superpositions. </w:t>
      </w:r>
      <w:r w:rsidR="001262C0">
        <w:t xml:space="preserve">This </w:t>
      </w:r>
      <w:r w:rsidR="00943085">
        <w:t xml:space="preserve">particular </w:t>
      </w:r>
      <w:r w:rsidR="001262C0">
        <w:t xml:space="preserve">interaction </w:t>
      </w:r>
      <w:r w:rsidR="001D1016">
        <w:t>suggest</w:t>
      </w:r>
      <w:r w:rsidR="001262C0">
        <w:t>s</w:t>
      </w:r>
      <w:r w:rsidR="001D1016">
        <w:t xml:space="preserve"> that tropical anticyclonic QGPV anomalies, which</w:t>
      </w:r>
      <w:r w:rsidR="005F3618">
        <w:t xml:space="preserve"> can result from</w:t>
      </w:r>
      <w:r w:rsidR="001D1016">
        <w:t xml:space="preserve"> the cumulative effects of latent heating</w:t>
      </w:r>
      <w:r w:rsidR="005F3618">
        <w:t xml:space="preserve"> in the middle troposphere</w:t>
      </w:r>
      <w:r w:rsidR="001D1016">
        <w:t xml:space="preserve"> </w:t>
      </w:r>
      <w:r w:rsidR="00943085">
        <w:t>and/</w:t>
      </w:r>
      <w:r w:rsidR="005F3618">
        <w:t>or</w:t>
      </w:r>
      <w:r w:rsidR="001D1016">
        <w:t xml:space="preserve"> the poleward transport of tropical low-PV upper-tropospheric air, do not impact the production of QG vertical motion </w:t>
      </w:r>
      <w:r w:rsidR="00D04E06">
        <w:t>via</w:t>
      </w:r>
      <w:r w:rsidR="001D1016">
        <w:t xml:space="preserve"> their </w:t>
      </w:r>
      <w:r w:rsidR="00943085">
        <w:t>induced</w:t>
      </w:r>
      <w:r w:rsidR="001D1016">
        <w:t xml:space="preserve"> geostrophic wind</w:t>
      </w:r>
      <w:r w:rsidR="00925865">
        <w:t xml:space="preserve"> field</w:t>
      </w:r>
      <w:r w:rsidR="00BE6E2E">
        <w:t>s</w:t>
      </w:r>
      <w:r w:rsidR="001D1016">
        <w:t>, but rather through the</w:t>
      </w:r>
      <w:r w:rsidR="00BE6E2E">
        <w:t>ir</w:t>
      </w:r>
      <w:r w:rsidR="001D1016">
        <w:t xml:space="preserve"> influence</w:t>
      </w:r>
      <w:r w:rsidR="00925865">
        <w:t xml:space="preserve"> </w:t>
      </w:r>
      <w:r w:rsidR="001D1016">
        <w:t>on the</w:t>
      </w:r>
      <w:r w:rsidR="00103FC7">
        <w:t xml:space="preserve"> strength of the</w:t>
      </w:r>
      <w:r w:rsidR="00BE6E2E">
        <w:t xml:space="preserve"> mid and upper-</w:t>
      </w:r>
      <w:r w:rsidR="001D1016">
        <w:t xml:space="preserve">tropospheric </w:t>
      </w:r>
      <w:r w:rsidR="00DB324A">
        <w:t>baroclinicity</w:t>
      </w:r>
      <w:r w:rsidR="001D1016">
        <w:t>.</w:t>
      </w:r>
      <w:r w:rsidR="003A28C5">
        <w:t xml:space="preserve"> The contribution</w:t>
      </w:r>
      <w:r w:rsidR="006242C8">
        <w:t xml:space="preserve"> from tropical anticyclonic QGPV anomalies to </w:t>
      </w:r>
      <w:r w:rsidR="00D12A5F">
        <w:t xml:space="preserve">the structure of the </w:t>
      </w:r>
      <w:r w:rsidR="006242C8">
        <w:t xml:space="preserve">upper-tropospheric </w:t>
      </w:r>
      <w:r w:rsidR="00D12A5F">
        <w:t>baroclinicity</w:t>
      </w:r>
      <w:r w:rsidR="006242C8">
        <w:t xml:space="preserve"> </w:t>
      </w:r>
      <w:r w:rsidR="00622589">
        <w:t>and to jet streak intensification</w:t>
      </w:r>
      <w:r w:rsidR="00956B11">
        <w:t xml:space="preserve"> has</w:t>
      </w:r>
      <w:r w:rsidR="00792A38">
        <w:t xml:space="preserve"> also</w:t>
      </w:r>
      <w:r w:rsidR="00956B11">
        <w:t xml:space="preserve"> been noted as part of prior</w:t>
      </w:r>
      <w:r w:rsidR="00D561FA">
        <w:t xml:space="preserve"> </w:t>
      </w:r>
      <w:r w:rsidR="00956B11">
        <w:t>work</w:t>
      </w:r>
      <w:r w:rsidR="006242C8">
        <w:t xml:space="preserve"> </w:t>
      </w:r>
      <w:r w:rsidR="00D12A5F">
        <w:t>on rapidly deepening surface cyclones</w:t>
      </w:r>
      <w:r w:rsidR="00715A85">
        <w:t xml:space="preserve"> (</w:t>
      </w:r>
      <w:r w:rsidR="00D86911">
        <w:t>e.g., Reed et al. 1993; Davis et al. 1996; Morgan and Nielsen-Gammon 1998)</w:t>
      </w:r>
      <w:r w:rsidR="00D12A5F">
        <w:t xml:space="preserve"> and recurving tropical cyclones </w:t>
      </w:r>
      <w:r w:rsidR="006242C8">
        <w:t xml:space="preserve">(e.g., </w:t>
      </w:r>
      <w:r w:rsidR="00D12A5F">
        <w:t>Riemer et al. 2008</w:t>
      </w:r>
      <w:r w:rsidR="00CB6C89">
        <w:t>;</w:t>
      </w:r>
      <w:r w:rsidR="00D86911">
        <w:t xml:space="preserve"> Riemer and Jones 2010;</w:t>
      </w:r>
      <w:r w:rsidR="008C7C65">
        <w:t xml:space="preserve"> Grams et al. 2011, 2013;</w:t>
      </w:r>
      <w:r w:rsidR="00D12A5F">
        <w:t xml:space="preserve"> Archambault et al. 2013; Grams and Archambault 2016</w:t>
      </w:r>
      <w:r w:rsidR="006242C8">
        <w:t>)</w:t>
      </w:r>
      <w:r w:rsidR="00956B11">
        <w:t>.</w:t>
      </w:r>
    </w:p>
    <w:p w14:paraId="374E2CF3" w14:textId="2133E444" w:rsidR="008B64AF" w:rsidRDefault="00204FF6" w:rsidP="00247A72">
      <w:pPr>
        <w:widowControl w:val="0"/>
        <w:spacing w:line="480" w:lineRule="auto"/>
      </w:pPr>
      <w:r>
        <w:tab/>
      </w:r>
      <w:r w:rsidR="00E15AF6">
        <w:t xml:space="preserve">Use of the </w:t>
      </w:r>
      <w:r w:rsidR="00E15AF6" w:rsidRPr="00E15AF6">
        <w:rPr>
          <w:b/>
          <w:i/>
        </w:rPr>
        <w:t>Q</w:t>
      </w:r>
      <w:r w:rsidR="00E15AF6">
        <w:t>-vector form of the QG-</w:t>
      </w:r>
      <m:oMath>
        <m:r>
          <w:rPr>
            <w:rFonts w:ascii="Cambria Math" w:hAnsi="Cambria Math"/>
          </w:rPr>
          <m:t>ω</m:t>
        </m:r>
      </m:oMath>
      <w:r w:rsidR="00E15AF6">
        <w:t xml:space="preserve"> equation to </w:t>
      </w:r>
      <w:r>
        <w:t xml:space="preserve">partition </w:t>
      </w:r>
      <w:r w:rsidR="00E15AF6">
        <w:t>the</w:t>
      </w:r>
      <w:r>
        <w:t xml:space="preserve"> </w:t>
      </w:r>
      <w:r w:rsidR="009967EF">
        <w:t>QG vertical motion</w:t>
      </w:r>
      <w:r>
        <w:t xml:space="preserve"> into </w:t>
      </w:r>
      <w:r w:rsidR="004D7548">
        <w:t xml:space="preserve">an </w:t>
      </w:r>
      <w:r>
        <w:t>along-</w:t>
      </w:r>
      <w:r w:rsidR="00B25DA6">
        <w:t>isotherm</w:t>
      </w:r>
      <w:r w:rsidR="007246E8">
        <w:t xml:space="preserve"> component</w:t>
      </w:r>
      <w:r w:rsidR="009967EF">
        <w:t xml:space="preserve">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9967EF">
        <w:t>)</w:t>
      </w:r>
      <w:r w:rsidR="00B25DA6">
        <w:t xml:space="preserve"> </w:t>
      </w:r>
      <w:r>
        <w:t>and</w:t>
      </w:r>
      <w:r w:rsidR="009D1072">
        <w:t xml:space="preserve"> an</w:t>
      </w:r>
      <w:r>
        <w:t xml:space="preserve"> across-</w:t>
      </w:r>
      <w:r w:rsidR="00B25DA6">
        <w:t>isotherm</w:t>
      </w:r>
      <w:r w:rsidR="007246E8">
        <w:t xml:space="preserve"> component</w:t>
      </w:r>
      <w:r w:rsidR="009967EF">
        <w:t xml:space="preserve"> (</w:t>
      </w:r>
      <m:oMath>
        <m:sSub>
          <m:sSubPr>
            <m:ctrlPr>
              <w:rPr>
                <w:rFonts w:ascii="Cambria Math" w:hAnsi="Cambria Math"/>
                <w:i/>
              </w:rPr>
            </m:ctrlPr>
          </m:sSubPr>
          <m:e>
            <m:r>
              <w:rPr>
                <w:rFonts w:ascii="Cambria Math" w:hAnsi="Cambria Math"/>
              </w:rPr>
              <m:t>ω</m:t>
            </m:r>
          </m:e>
          <m:sub>
            <m:r>
              <w:rPr>
                <w:rFonts w:ascii="Cambria Math" w:hAnsi="Cambria Math"/>
              </w:rPr>
              <m:t>n</m:t>
            </m:r>
          </m:sub>
        </m:sSub>
        <m:r>
          <w:rPr>
            <w:rFonts w:ascii="Cambria Math" w:hAnsi="Cambria Math"/>
          </w:rPr>
          <m:t>)</m:t>
        </m:r>
      </m:oMath>
      <w:r>
        <w:t xml:space="preserve"> </w:t>
      </w:r>
      <w:r w:rsidR="00153C3B">
        <w:t>provides</w:t>
      </w:r>
      <w:r w:rsidR="00B73DF9">
        <w:t xml:space="preserve"> </w:t>
      </w:r>
      <w:r w:rsidR="00120300">
        <w:t>additional</w:t>
      </w:r>
      <w:r>
        <w:t xml:space="preserve"> </w:t>
      </w:r>
      <w:r>
        <w:lastRenderedPageBreak/>
        <w:t>insight into the character of</w:t>
      </w:r>
      <w:r w:rsidR="00981B18">
        <w:t xml:space="preserve"> QG</w:t>
      </w:r>
      <w:r>
        <w:t xml:space="preserve"> vertical motion in the vicinity of jet superpositions. </w:t>
      </w:r>
      <w:r w:rsidR="00F90F8F">
        <w:t xml:space="preserve">In particular,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111DB6">
        <w:t xml:space="preserve"> dominates</w:t>
      </w:r>
      <w:r w:rsidR="00003850">
        <w:t xml:space="preserve"> </w:t>
      </w:r>
      <w:r w:rsidR="00111DB6">
        <w:t>the</w:t>
      </w:r>
      <w:r>
        <w:t xml:space="preserve"> </w:t>
      </w:r>
      <w:r w:rsidR="00981B18">
        <w:t xml:space="preserve">QG </w:t>
      </w:r>
      <w:r w:rsidR="00DC219D">
        <w:t xml:space="preserve">vertical motion </w:t>
      </w:r>
      <w:r w:rsidR="00111DB6">
        <w:t>pattern</w:t>
      </w:r>
      <w:r w:rsidR="005C6508">
        <w:t xml:space="preserve"> </w:t>
      </w:r>
      <w:r w:rsidR="00111DB6">
        <w:t xml:space="preserve">during </w:t>
      </w:r>
      <w:r w:rsidR="005C6508">
        <w:t>polar dominant events</w:t>
      </w:r>
      <w:r w:rsidR="00111DB6">
        <w:t xml:space="preserve">. </w:t>
      </w:r>
      <w:r w:rsidR="00DB302B">
        <w:t xml:space="preserve">The dominance of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DB302B">
        <w:t xml:space="preserve"> in the vicinity of upper-level jet front systems has </w:t>
      </w:r>
      <w:r w:rsidR="00E670BD">
        <w:t xml:space="preserve">also been </w:t>
      </w:r>
      <w:r w:rsidR="008B64AF">
        <w:t>observed</w:t>
      </w:r>
      <w:r w:rsidR="00E670BD">
        <w:t xml:space="preserve"> </w:t>
      </w:r>
      <w:r w:rsidR="00EF1468">
        <w:t xml:space="preserve">within individual case studies (e.g., Pyle et al. 2004; Martin 2014). </w:t>
      </w:r>
      <w:r w:rsidR="008B64AF">
        <w:t>In the context of the present study</w:t>
      </w:r>
      <w:r w:rsidR="00F868E4">
        <w:t>,</w:t>
      </w:r>
      <w:r w:rsidR="008B64AF">
        <w:t xml:space="preserve"> t</w:t>
      </w:r>
      <w:r w:rsidR="00F132E8">
        <w:t>h</w:t>
      </w:r>
      <w:r w:rsidR="00EF1468">
        <w:t xml:space="preserve">e dominance of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EF1468">
        <w:t xml:space="preserve"> </w:t>
      </w:r>
      <w:r w:rsidR="006612C8">
        <w:t>implies</w:t>
      </w:r>
      <w:r w:rsidR="009E20B7">
        <w:t xml:space="preserve"> that</w:t>
      </w:r>
      <w:r w:rsidR="002E0896">
        <w:t xml:space="preserve"> </w:t>
      </w:r>
      <w:r w:rsidR="00111DB6">
        <w:t>an amplified upper-tropospheric flow pattern</w:t>
      </w:r>
      <w:r w:rsidR="008B64AF">
        <w:t xml:space="preserve"> during polar dominant events</w:t>
      </w:r>
      <w:r w:rsidR="00111DB6">
        <w:t xml:space="preserve"> contributes substantially to</w:t>
      </w:r>
      <w:r w:rsidR="002D4F0E">
        <w:t xml:space="preserve"> the production of QG vertical</w:t>
      </w:r>
      <w:r w:rsidR="002E0896">
        <w:t xml:space="preserve"> motion</w:t>
      </w:r>
      <w:r w:rsidR="00F868E4">
        <w:t xml:space="preserve"> within the near-jet environment and the formation of a steep, single-step tropopause structure during those events</w:t>
      </w:r>
      <w:r w:rsidR="005C6508">
        <w:t>.</w:t>
      </w:r>
      <w:r w:rsidR="006326F5">
        <w:t xml:space="preserve"> </w:t>
      </w:r>
    </w:p>
    <w:p w14:paraId="30758ED2" w14:textId="5AE52CE1" w:rsidR="00646FB7" w:rsidRDefault="008B64AF" w:rsidP="00247A72">
      <w:pPr>
        <w:widowControl w:val="0"/>
        <w:spacing w:line="480" w:lineRule="auto"/>
      </w:pPr>
      <w:r>
        <w:tab/>
      </w:r>
      <w:r w:rsidR="00CF53FF">
        <w:t>The</w:t>
      </w:r>
      <w:r w:rsidR="001860A6">
        <w:t xml:space="preserve">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1860A6">
        <w:t xml:space="preserve"> </w:t>
      </w:r>
      <w:r w:rsidR="00F829E0">
        <w:t xml:space="preserve">pattern </w:t>
      </w:r>
      <w:r w:rsidR="00153C3B">
        <w:t>also</w:t>
      </w:r>
      <w:r w:rsidR="001D0B6C">
        <w:t xml:space="preserve"> dominates the QG vertical motion pattern</w:t>
      </w:r>
      <w:r w:rsidR="00153C3B">
        <w:t xml:space="preserve"> </w:t>
      </w:r>
      <w:r w:rsidR="00CF53FF">
        <w:t>during eastern and western subtropical dominant events, but not to the same degree as</w:t>
      </w:r>
      <w:r w:rsidR="00F829E0">
        <w:t xml:space="preserve"> during</w:t>
      </w:r>
      <w:r w:rsidR="00CF53FF">
        <w:t xml:space="preserve"> polar dominant events. </w:t>
      </w:r>
      <w:r>
        <w:t>Namely, t</w:t>
      </w:r>
      <w:r w:rsidR="00F829E0">
        <w:t>he upper-tropospheric flow pattern during b</w:t>
      </w:r>
      <w:r w:rsidR="005B736A">
        <w:t>oth</w:t>
      </w:r>
      <w:r w:rsidR="006326F5">
        <w:t xml:space="preserve"> </w:t>
      </w:r>
      <w:r w:rsidR="001860A6">
        <w:t xml:space="preserve">eastern and western </w:t>
      </w:r>
      <w:r w:rsidR="006326F5">
        <w:t>subtropical dominant event</w:t>
      </w:r>
      <w:r w:rsidR="00F829E0">
        <w:t>s</w:t>
      </w:r>
      <w:r w:rsidR="006326F5">
        <w:t xml:space="preserve"> </w:t>
      </w:r>
      <w:r w:rsidR="00F829E0">
        <w:t>exhibit</w:t>
      </w:r>
      <w:r w:rsidR="006326F5">
        <w:t xml:space="preserve"> reduced </w:t>
      </w:r>
      <w:r w:rsidR="00F829E0">
        <w:t>amplitude</w:t>
      </w:r>
      <w:r w:rsidR="006326F5">
        <w:t xml:space="preserve"> </w:t>
      </w:r>
      <w:r w:rsidR="00F829E0">
        <w:t>compared to</w:t>
      </w:r>
      <w:r w:rsidR="006326F5">
        <w:t xml:space="preserve"> polar dominant events</w:t>
      </w:r>
      <w:r w:rsidR="006A70CB">
        <w:t xml:space="preserve">, which </w:t>
      </w:r>
      <w:r w:rsidR="000F71FB">
        <w:t>may explain</w:t>
      </w:r>
      <w:r w:rsidR="006A70CB">
        <w:t xml:space="preserve"> the</w:t>
      </w:r>
      <w:r w:rsidR="003555BA">
        <w:t xml:space="preserve"> </w:t>
      </w:r>
      <w:r w:rsidR="001860A6">
        <w:t>smaller</w:t>
      </w:r>
      <w:r w:rsidR="00553162">
        <w:t xml:space="preserve"> contribution</w:t>
      </w:r>
      <w:r w:rsidR="001860A6">
        <w:t xml:space="preserve"> </w:t>
      </w:r>
      <w:r w:rsidR="00553162">
        <w:t xml:space="preserve">from </w:t>
      </w:r>
      <m:oMath>
        <m:sSub>
          <m:sSubPr>
            <m:ctrlPr>
              <w:rPr>
                <w:rFonts w:ascii="Cambria Math" w:hAnsi="Cambria Math"/>
                <w:i/>
              </w:rPr>
            </m:ctrlPr>
          </m:sSubPr>
          <m:e>
            <m:r>
              <w:rPr>
                <w:rFonts w:ascii="Cambria Math" w:hAnsi="Cambria Math"/>
              </w:rPr>
              <m:t>ω</m:t>
            </m:r>
          </m:e>
          <m:sub>
            <m:r>
              <w:rPr>
                <w:rFonts w:ascii="Cambria Math" w:hAnsi="Cambria Math"/>
              </w:rPr>
              <m:t>s</m:t>
            </m:r>
          </m:sub>
        </m:sSub>
      </m:oMath>
      <w:r w:rsidR="00553162">
        <w:t xml:space="preserve"> to th</w:t>
      </w:r>
      <w:r w:rsidR="00F829E0">
        <w:t xml:space="preserve">e </w:t>
      </w:r>
      <w:r w:rsidR="00553162">
        <w:t xml:space="preserve">QG vertical motion </w:t>
      </w:r>
      <w:r w:rsidR="00B32649">
        <w:t>during</w:t>
      </w:r>
      <w:r w:rsidR="006A70CB">
        <w:t xml:space="preserve"> </w:t>
      </w:r>
      <w:r w:rsidR="000F71FB">
        <w:t>both subtropical dominant event</w:t>
      </w:r>
      <w:r w:rsidR="001D0B6C">
        <w:t xml:space="preserve"> types</w:t>
      </w:r>
      <w:r w:rsidR="006A70CB">
        <w:t>.</w:t>
      </w:r>
      <w:r w:rsidR="00135D2C">
        <w:t xml:space="preserve"> </w:t>
      </w:r>
      <w:r w:rsidR="00A11BB0">
        <w:t>Additionally</w:t>
      </w:r>
      <w:r w:rsidR="00135D2C">
        <w:t>, eastern subtropical dominant events feature</w:t>
      </w:r>
      <w:r w:rsidR="00A11BB0">
        <w:t xml:space="preserve"> a</w:t>
      </w:r>
      <w:r w:rsidR="00135D2C">
        <w:t xml:space="preserve"> larger</w:t>
      </w:r>
      <w:r w:rsidR="00C65ED2">
        <w:t xml:space="preserve"> relative</w:t>
      </w:r>
      <w:r w:rsidR="00135D2C">
        <w:t xml:space="preserve"> contribution</w:t>
      </w:r>
      <w:r w:rsidR="00C65ED2">
        <w:t xml:space="preserve"> from</w:t>
      </w:r>
      <w:r w:rsidR="00135D2C">
        <w:t xml:space="preserve">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1D0B6C">
        <w:t xml:space="preserve"> </w:t>
      </w:r>
      <w:r w:rsidR="00135D2C">
        <w:t xml:space="preserve">to </w:t>
      </w:r>
      <w:r w:rsidR="00A11BB0">
        <w:t xml:space="preserve">the </w:t>
      </w:r>
      <w:r w:rsidR="00135D2C">
        <w:t xml:space="preserve">QG vertical motion compared to </w:t>
      </w:r>
      <w:r w:rsidR="00A11BB0">
        <w:t>polar and western subtropical dominant events</w:t>
      </w:r>
      <w:r w:rsidR="00986C48">
        <w:t>.</w:t>
      </w:r>
      <w:r w:rsidR="00135D2C">
        <w:t xml:space="preserve"> </w:t>
      </w:r>
      <w:r w:rsidR="00C65ED2">
        <w:t xml:space="preserve">The larger relative contribution from </w:t>
      </w:r>
      <m:oMath>
        <m:sSub>
          <m:sSubPr>
            <m:ctrlPr>
              <w:rPr>
                <w:rFonts w:ascii="Cambria Math" w:hAnsi="Cambria Math"/>
                <w:i/>
              </w:rPr>
            </m:ctrlPr>
          </m:sSubPr>
          <m:e>
            <m:r>
              <w:rPr>
                <w:rFonts w:ascii="Cambria Math" w:hAnsi="Cambria Math"/>
              </w:rPr>
              <m:t>ω</m:t>
            </m:r>
          </m:e>
          <m:sub>
            <m:r>
              <w:rPr>
                <w:rFonts w:ascii="Cambria Math" w:hAnsi="Cambria Math"/>
              </w:rPr>
              <m:t>n</m:t>
            </m:r>
          </m:sub>
        </m:sSub>
      </m:oMath>
      <w:r w:rsidR="00C65ED2">
        <w:t xml:space="preserve"> during </w:t>
      </w:r>
      <w:r w:rsidR="004639E6">
        <w:t>eastern</w:t>
      </w:r>
      <w:r w:rsidR="00C65ED2">
        <w:t xml:space="preserve"> subtropical dominant event</w:t>
      </w:r>
      <w:r w:rsidR="004639E6">
        <w:t>s</w:t>
      </w:r>
      <w:r w:rsidR="00C65ED2">
        <w:t xml:space="preserve"> </w:t>
      </w:r>
      <w:r w:rsidR="00135D2C">
        <w:t>suggest</w:t>
      </w:r>
      <w:r w:rsidR="004639E6">
        <w:t>s</w:t>
      </w:r>
      <w:r w:rsidR="00135D2C">
        <w:t xml:space="preserve"> that </w:t>
      </w:r>
      <w:r>
        <w:t>frontal circulations in the vicinity of the jet</w:t>
      </w:r>
      <w:r w:rsidR="00E20B6A">
        <w:t xml:space="preserve"> </w:t>
      </w:r>
      <w:r w:rsidR="00477986">
        <w:t>have a stronger relative influence on the production of</w:t>
      </w:r>
      <w:r w:rsidR="00135D2C">
        <w:t xml:space="preserve"> QG vertical motion during </w:t>
      </w:r>
      <w:r w:rsidR="00B32649">
        <w:t xml:space="preserve">eastern </w:t>
      </w:r>
      <w:r w:rsidR="004639E6">
        <w:t xml:space="preserve">subtropical </w:t>
      </w:r>
      <w:r w:rsidR="00135D2C">
        <w:t>dominant event</w:t>
      </w:r>
      <w:r w:rsidR="00B32649">
        <w:t>s</w:t>
      </w:r>
      <w:r w:rsidR="00135D2C">
        <w:t xml:space="preserve"> </w:t>
      </w:r>
      <w:r w:rsidR="00C65ED2">
        <w:t>compared to polar</w:t>
      </w:r>
      <w:r w:rsidR="004639E6">
        <w:t xml:space="preserve"> and western subtropical</w:t>
      </w:r>
      <w:r w:rsidR="00C65ED2">
        <w:t xml:space="preserve"> dominant events</w:t>
      </w:r>
      <w:r w:rsidR="00135D2C">
        <w:t>.</w:t>
      </w:r>
      <w:r w:rsidR="00D47632">
        <w:t xml:space="preserve"> Therefore, the preceding analys</w:t>
      </w:r>
      <w:r w:rsidR="00622589">
        <w:t>e</w:t>
      </w:r>
      <w:r w:rsidR="00D47632">
        <w:t xml:space="preserve">s </w:t>
      </w:r>
      <w:r w:rsidR="00622589">
        <w:t>reveal</w:t>
      </w:r>
      <w:r w:rsidR="00D47632">
        <w:t xml:space="preserve"> that the dynamical mechanisms responsible for</w:t>
      </w:r>
      <w:r w:rsidR="004D469B">
        <w:t xml:space="preserve"> the production of</w:t>
      </w:r>
      <w:r w:rsidR="00D47632">
        <w:t xml:space="preserve"> QG vertical motion in the vicinity of jet superpositions vary in relative importance depending on the location of jet superposition</w:t>
      </w:r>
      <w:r w:rsidR="00C13EB0">
        <w:t>.</w:t>
      </w:r>
    </w:p>
    <w:p w14:paraId="1B403BCE" w14:textId="20D14D5C" w:rsidR="00E132EA" w:rsidRDefault="00FD3481" w:rsidP="00247A72">
      <w:pPr>
        <w:widowControl w:val="0"/>
        <w:spacing w:line="480" w:lineRule="auto"/>
      </w:pPr>
      <w:r>
        <w:tab/>
      </w:r>
    </w:p>
    <w:p w14:paraId="6E932BFC" w14:textId="4DE9495C" w:rsidR="00FD3481" w:rsidRDefault="005B4212" w:rsidP="00247A72">
      <w:pPr>
        <w:widowControl w:val="0"/>
        <w:spacing w:line="480" w:lineRule="auto"/>
        <w:rPr>
          <w:i/>
        </w:rPr>
      </w:pPr>
      <w:r>
        <w:rPr>
          <w:i/>
        </w:rPr>
        <w:t xml:space="preserve">Data </w:t>
      </w:r>
      <w:r w:rsidR="0029542D">
        <w:rPr>
          <w:i/>
        </w:rPr>
        <w:t>Availability</w:t>
      </w:r>
      <w:r>
        <w:rPr>
          <w:i/>
        </w:rPr>
        <w:t xml:space="preserve"> Statement</w:t>
      </w:r>
    </w:p>
    <w:p w14:paraId="71A4F56A" w14:textId="335B6057" w:rsidR="005B4212" w:rsidRDefault="00DA342F" w:rsidP="00C13EB0">
      <w:pPr>
        <w:widowControl w:val="0"/>
        <w:spacing w:line="480" w:lineRule="auto"/>
      </w:pPr>
      <w:r>
        <w:t>The</w:t>
      </w:r>
      <w:r w:rsidR="00642605">
        <w:t xml:space="preserve"> CFSR</w:t>
      </w:r>
      <w:r>
        <w:t xml:space="preserve"> </w:t>
      </w:r>
      <w:r w:rsidR="005B4212">
        <w:t xml:space="preserve">dataset used in this study </w:t>
      </w:r>
      <w:r w:rsidR="00642605">
        <w:t>is</w:t>
      </w:r>
      <w:r w:rsidR="005B4212">
        <w:t xml:space="preserve"> publicly available from the Research Data Archive at </w:t>
      </w:r>
      <w:r w:rsidR="005B4212">
        <w:lastRenderedPageBreak/>
        <w:t>NCAR</w:t>
      </w:r>
      <w:r w:rsidR="00642605">
        <w:t xml:space="preserve"> (</w:t>
      </w:r>
      <w:r w:rsidR="00642605" w:rsidRPr="00642605">
        <w:t>https://doi.org/10.5065/D69K487J</w:t>
      </w:r>
      <w:r w:rsidR="00642605">
        <w:t>)</w:t>
      </w:r>
      <w:r w:rsidR="005B4212">
        <w:t xml:space="preserve">. </w:t>
      </w:r>
      <w:r w:rsidR="00642605">
        <w:t>Data describing the</w:t>
      </w:r>
      <w:r w:rsidR="005B4212">
        <w:t xml:space="preserve"> jet superposition events</w:t>
      </w:r>
      <w:r w:rsidR="00642605">
        <w:t xml:space="preserve"> utilized in this study are archived at the University of Colorado Boulder (</w:t>
      </w:r>
      <w:r w:rsidR="004B1E3C" w:rsidRPr="004B1E3C">
        <w:t>https://doi.org/10.25810/tscc-2k05</w:t>
      </w:r>
      <w:r w:rsidR="00642605">
        <w:t>). All</w:t>
      </w:r>
      <w:r w:rsidR="005B4212">
        <w:t xml:space="preserve"> computer programs written to perform the data analysis are available from the first author upon request.</w:t>
      </w:r>
    </w:p>
    <w:p w14:paraId="3527FFE8" w14:textId="4BC581FD" w:rsidR="005B4212" w:rsidRDefault="005B4212" w:rsidP="00247A72">
      <w:pPr>
        <w:widowControl w:val="0"/>
        <w:spacing w:line="480" w:lineRule="auto"/>
        <w:rPr>
          <w:i/>
        </w:rPr>
      </w:pPr>
    </w:p>
    <w:p w14:paraId="26644352" w14:textId="77777777" w:rsidR="005B4212" w:rsidRDefault="005B4212" w:rsidP="00247A72">
      <w:pPr>
        <w:widowControl w:val="0"/>
        <w:spacing w:line="480" w:lineRule="auto"/>
        <w:rPr>
          <w:i/>
        </w:rPr>
      </w:pPr>
      <w:r>
        <w:rPr>
          <w:i/>
        </w:rPr>
        <w:t>Acknowledgments</w:t>
      </w:r>
    </w:p>
    <w:p w14:paraId="26196357" w14:textId="0273F28D" w:rsidR="004F740D" w:rsidRDefault="005B4212" w:rsidP="00E33F51">
      <w:pPr>
        <w:widowControl w:val="0"/>
        <w:spacing w:line="480" w:lineRule="auto"/>
      </w:pPr>
      <w:r>
        <w:t>This work was supported by the National Science Foundation through an AGS Postdoctoral Research Fellowship (</w:t>
      </w:r>
      <w:r w:rsidRPr="0077055C">
        <w:t>AGS-1624316</w:t>
      </w:r>
      <w:r>
        <w:t xml:space="preserve">) held at the University at Albany, State University of New York by ACW. </w:t>
      </w:r>
      <w:r w:rsidR="0038314B">
        <w:t>The authors thank David M. Schultz, Alicia M. Bentley, and two anonymous reviewers for their constructive comments throughout the review process.</w:t>
      </w:r>
    </w:p>
    <w:p w14:paraId="62C544A0" w14:textId="19C3B45B" w:rsidR="00AC4322" w:rsidRDefault="00AC4322" w:rsidP="00E33F51">
      <w:pPr>
        <w:widowControl w:val="0"/>
        <w:spacing w:line="480" w:lineRule="auto"/>
      </w:pPr>
    </w:p>
    <w:p w14:paraId="03EACBD9" w14:textId="3FB3D667" w:rsidR="0072134B" w:rsidRDefault="0072134B" w:rsidP="00E33F51">
      <w:pPr>
        <w:widowControl w:val="0"/>
        <w:spacing w:line="480" w:lineRule="auto"/>
      </w:pPr>
    </w:p>
    <w:p w14:paraId="71350B73" w14:textId="28671FF9" w:rsidR="0072134B" w:rsidRDefault="0072134B" w:rsidP="00E33F51">
      <w:pPr>
        <w:widowControl w:val="0"/>
        <w:spacing w:line="480" w:lineRule="auto"/>
      </w:pPr>
    </w:p>
    <w:p w14:paraId="17425C37" w14:textId="3694FE5B" w:rsidR="0072134B" w:rsidRDefault="0072134B" w:rsidP="00E33F51">
      <w:pPr>
        <w:widowControl w:val="0"/>
        <w:spacing w:line="480" w:lineRule="auto"/>
      </w:pPr>
    </w:p>
    <w:p w14:paraId="0CEEBD22" w14:textId="11917ACA" w:rsidR="0072134B" w:rsidRDefault="0072134B" w:rsidP="00E33F51">
      <w:pPr>
        <w:widowControl w:val="0"/>
        <w:spacing w:line="480" w:lineRule="auto"/>
      </w:pPr>
    </w:p>
    <w:p w14:paraId="15205A12" w14:textId="47ABB71F" w:rsidR="0072134B" w:rsidRDefault="0072134B" w:rsidP="00E33F51">
      <w:pPr>
        <w:widowControl w:val="0"/>
        <w:spacing w:line="480" w:lineRule="auto"/>
      </w:pPr>
    </w:p>
    <w:p w14:paraId="219CF755" w14:textId="766C3A97" w:rsidR="0072134B" w:rsidRDefault="0072134B" w:rsidP="00E33F51">
      <w:pPr>
        <w:widowControl w:val="0"/>
        <w:spacing w:line="480" w:lineRule="auto"/>
      </w:pPr>
    </w:p>
    <w:p w14:paraId="31109FE1" w14:textId="554DF59D" w:rsidR="0072134B" w:rsidRDefault="0072134B" w:rsidP="00E33F51">
      <w:pPr>
        <w:widowControl w:val="0"/>
        <w:spacing w:line="480" w:lineRule="auto"/>
      </w:pPr>
    </w:p>
    <w:p w14:paraId="2AD473C9" w14:textId="4F40B811" w:rsidR="00AC5A46" w:rsidRDefault="00AC5A46" w:rsidP="00E33F51">
      <w:pPr>
        <w:widowControl w:val="0"/>
        <w:spacing w:line="480" w:lineRule="auto"/>
      </w:pPr>
    </w:p>
    <w:p w14:paraId="00E25000" w14:textId="77777777" w:rsidR="00AC5A46" w:rsidRDefault="00AC5A46" w:rsidP="00E33F51">
      <w:pPr>
        <w:widowControl w:val="0"/>
        <w:spacing w:line="480" w:lineRule="auto"/>
      </w:pPr>
    </w:p>
    <w:p w14:paraId="1AF90383" w14:textId="543C6F54" w:rsidR="0072134B" w:rsidRDefault="0072134B" w:rsidP="00E33F51">
      <w:pPr>
        <w:widowControl w:val="0"/>
        <w:spacing w:line="480" w:lineRule="auto"/>
      </w:pPr>
    </w:p>
    <w:p w14:paraId="2D87D7A9" w14:textId="551881AA" w:rsidR="0072134B" w:rsidRDefault="0072134B" w:rsidP="00E33F51">
      <w:pPr>
        <w:widowControl w:val="0"/>
        <w:spacing w:line="480" w:lineRule="auto"/>
      </w:pPr>
    </w:p>
    <w:p w14:paraId="6297B627" w14:textId="77777777" w:rsidR="0072134B" w:rsidRDefault="0072134B" w:rsidP="00E33F51">
      <w:pPr>
        <w:widowControl w:val="0"/>
        <w:spacing w:line="480" w:lineRule="auto"/>
      </w:pPr>
    </w:p>
    <w:p w14:paraId="2CDDE351" w14:textId="77777777" w:rsidR="00417EF7" w:rsidRDefault="00BB4E98" w:rsidP="002011A2">
      <w:pPr>
        <w:spacing w:line="480" w:lineRule="auto"/>
        <w:rPr>
          <w:b/>
        </w:rPr>
      </w:pPr>
      <w:r w:rsidRPr="00BB4E98">
        <w:rPr>
          <w:b/>
        </w:rPr>
        <w:lastRenderedPageBreak/>
        <w:t>References</w:t>
      </w:r>
    </w:p>
    <w:p w14:paraId="6BD3534F" w14:textId="77777777" w:rsidR="006A68AA" w:rsidRPr="003B3EBB" w:rsidRDefault="006A68AA" w:rsidP="006A68AA">
      <w:pPr>
        <w:spacing w:line="480" w:lineRule="auto"/>
        <w:ind w:left="720" w:hanging="720"/>
        <w:rPr>
          <w:rFonts w:eastAsia="Cambria"/>
          <w:color w:val="000000" w:themeColor="text1"/>
        </w:rPr>
      </w:pPr>
      <w:r w:rsidRPr="003B3EBB">
        <w:rPr>
          <w:rFonts w:eastAsia="Cambria"/>
          <w:color w:val="000000" w:themeColor="text1"/>
        </w:rPr>
        <w:t xml:space="preserve">Agustí-Panareda, A., C. D. Thorncroft, G. C. Craig, and S. L. Gray, 2004: The extratropical transition of Hurricane Irene (1999): A potential-vorticity perspective. </w:t>
      </w:r>
      <w:r w:rsidRPr="003B3EBB">
        <w:rPr>
          <w:rFonts w:eastAsia="Cambria"/>
          <w:i/>
          <w:iCs/>
          <w:color w:val="000000" w:themeColor="text1"/>
        </w:rPr>
        <w:t>Quart. J. Roy. Meteor. Soc.</w:t>
      </w:r>
      <w:r w:rsidRPr="003B3EBB">
        <w:rPr>
          <w:rFonts w:eastAsia="Cambria"/>
          <w:color w:val="000000" w:themeColor="text1"/>
        </w:rPr>
        <w:t xml:space="preserve">, </w:t>
      </w:r>
      <w:r w:rsidRPr="003B3EBB">
        <w:rPr>
          <w:rFonts w:eastAsia="Cambria"/>
          <w:b/>
          <w:bCs/>
          <w:color w:val="000000" w:themeColor="text1"/>
        </w:rPr>
        <w:t>130</w:t>
      </w:r>
      <w:r w:rsidRPr="003B3EBB">
        <w:rPr>
          <w:rFonts w:eastAsia="Cambria"/>
          <w:color w:val="000000" w:themeColor="text1"/>
        </w:rPr>
        <w:t>, 1047–1074, doi: 10.1256/qj.02.140.</w:t>
      </w:r>
    </w:p>
    <w:p w14:paraId="6D1D6E1F" w14:textId="0F6A87C9" w:rsidR="006A68AA" w:rsidRDefault="006A68AA" w:rsidP="00417EF7">
      <w:pPr>
        <w:spacing w:line="480" w:lineRule="auto"/>
        <w:ind w:left="720" w:hanging="720"/>
        <w:rPr>
          <w:rFonts w:eastAsia="Cambria"/>
          <w:color w:val="000000" w:themeColor="text1"/>
        </w:rPr>
      </w:pPr>
      <w:r w:rsidRPr="003B3EBB">
        <w:rPr>
          <w:rFonts w:eastAsia="Cambria"/>
          <w:color w:val="000000" w:themeColor="text1"/>
        </w:rPr>
        <w:t xml:space="preserve">Ahmadi-Givi, F., G. C. Craig, and R. S. Plant, 2004: The dynamics of a midlatitude cyclone with very strong latent-heat release. </w:t>
      </w:r>
      <w:r w:rsidRPr="003B3EBB">
        <w:rPr>
          <w:rFonts w:eastAsia="Cambria"/>
          <w:i/>
          <w:iCs/>
          <w:color w:val="000000" w:themeColor="text1"/>
        </w:rPr>
        <w:t>Quart. J. Roy. Meteor. Soc.</w:t>
      </w:r>
      <w:r w:rsidRPr="003B3EBB">
        <w:rPr>
          <w:rFonts w:eastAsia="Cambria"/>
          <w:color w:val="000000" w:themeColor="text1"/>
        </w:rPr>
        <w:t xml:space="preserve">, </w:t>
      </w:r>
      <w:r w:rsidRPr="003B3EBB">
        <w:rPr>
          <w:rFonts w:eastAsia="Cambria"/>
          <w:b/>
          <w:bCs/>
          <w:color w:val="000000" w:themeColor="text1"/>
        </w:rPr>
        <w:t>130</w:t>
      </w:r>
      <w:r w:rsidRPr="003B3EBB">
        <w:rPr>
          <w:rFonts w:eastAsia="Cambria"/>
          <w:color w:val="000000" w:themeColor="text1"/>
        </w:rPr>
        <w:t>, 295–323, doi:</w:t>
      </w:r>
      <w:r w:rsidRPr="003B3EBB">
        <w:rPr>
          <w:color w:val="000000" w:themeColor="text1"/>
        </w:rPr>
        <w:t xml:space="preserve"> </w:t>
      </w:r>
      <w:r w:rsidRPr="003B3EBB">
        <w:rPr>
          <w:rFonts w:eastAsia="Cambria"/>
          <w:color w:val="000000" w:themeColor="text1"/>
        </w:rPr>
        <w:t>10.1256/qj.02.226.</w:t>
      </w:r>
    </w:p>
    <w:p w14:paraId="361B6D60" w14:textId="77777777" w:rsidR="00417EF7" w:rsidRDefault="00417EF7" w:rsidP="00417EF7">
      <w:pPr>
        <w:spacing w:line="480" w:lineRule="auto"/>
        <w:ind w:left="720" w:hanging="720"/>
        <w:rPr>
          <w:color w:val="000000" w:themeColor="text1"/>
        </w:rPr>
      </w:pPr>
      <w:r w:rsidRPr="002D442D">
        <w:rPr>
          <w:color w:val="000000" w:themeColor="text1"/>
        </w:rPr>
        <w:t>Breeden, M.</w:t>
      </w:r>
      <w:r>
        <w:rPr>
          <w:color w:val="000000" w:themeColor="text1"/>
        </w:rPr>
        <w:t>, and J. E.</w:t>
      </w:r>
      <w:r w:rsidRPr="002D442D">
        <w:rPr>
          <w:color w:val="000000" w:themeColor="text1"/>
        </w:rPr>
        <w:t xml:space="preserve"> Martin, 2018</w:t>
      </w:r>
      <w:r>
        <w:rPr>
          <w:color w:val="000000" w:themeColor="text1"/>
        </w:rPr>
        <w:t>:</w:t>
      </w:r>
      <w:r w:rsidRPr="002D442D">
        <w:rPr>
          <w:color w:val="000000" w:themeColor="text1"/>
        </w:rPr>
        <w:t xml:space="preserve"> Analysis of the initiation of an extreme North Pacific jet retraction using piecewise tendency diagnosis. </w:t>
      </w:r>
      <w:r w:rsidRPr="002D442D">
        <w:rPr>
          <w:i/>
          <w:color w:val="000000" w:themeColor="text1"/>
        </w:rPr>
        <w:t>Q</w:t>
      </w:r>
      <w:r>
        <w:rPr>
          <w:i/>
          <w:color w:val="000000" w:themeColor="text1"/>
        </w:rPr>
        <w:t>uart</w:t>
      </w:r>
      <w:r w:rsidRPr="002D442D">
        <w:rPr>
          <w:i/>
          <w:color w:val="000000" w:themeColor="text1"/>
        </w:rPr>
        <w:t>. J. Roy. Meteor. Soc.</w:t>
      </w:r>
      <w:r w:rsidRPr="002D442D">
        <w:rPr>
          <w:color w:val="000000" w:themeColor="text1"/>
        </w:rPr>
        <w:t xml:space="preserve">, </w:t>
      </w:r>
      <w:r w:rsidRPr="002D442D">
        <w:rPr>
          <w:b/>
          <w:color w:val="000000" w:themeColor="text1"/>
        </w:rPr>
        <w:t>144</w:t>
      </w:r>
      <w:r w:rsidRPr="002D442D">
        <w:rPr>
          <w:color w:val="000000" w:themeColor="text1"/>
        </w:rPr>
        <w:t>, 1895–1913</w:t>
      </w:r>
      <w:r>
        <w:rPr>
          <w:color w:val="000000" w:themeColor="text1"/>
        </w:rPr>
        <w:t xml:space="preserve">, doi: </w:t>
      </w:r>
      <w:r w:rsidRPr="002D442D">
        <w:rPr>
          <w:color w:val="000000" w:themeColor="text1"/>
        </w:rPr>
        <w:t>10. 1002/qj.3388.</w:t>
      </w:r>
    </w:p>
    <w:p w14:paraId="553FDD5B" w14:textId="77777777" w:rsidR="00417EF7" w:rsidRDefault="00417EF7" w:rsidP="00417EF7">
      <w:pPr>
        <w:spacing w:line="480" w:lineRule="auto"/>
        <w:ind w:left="720" w:hanging="720"/>
        <w:rPr>
          <w:color w:val="000000" w:themeColor="text1"/>
        </w:rPr>
      </w:pPr>
      <w:r>
        <w:rPr>
          <w:color w:val="000000" w:themeColor="text1"/>
        </w:rPr>
        <w:t xml:space="preserve">Breeden, M., and J. E. Martin, 2019: Evidence for nonlinear processes in fostering a North Pacific jet retraction. </w:t>
      </w:r>
      <w:r w:rsidRPr="002D442D">
        <w:rPr>
          <w:i/>
          <w:color w:val="000000" w:themeColor="text1"/>
        </w:rPr>
        <w:t>Q</w:t>
      </w:r>
      <w:r>
        <w:rPr>
          <w:i/>
          <w:color w:val="000000" w:themeColor="text1"/>
        </w:rPr>
        <w:t>uart</w:t>
      </w:r>
      <w:r w:rsidRPr="002D442D">
        <w:rPr>
          <w:i/>
          <w:color w:val="000000" w:themeColor="text1"/>
        </w:rPr>
        <w:t>. J. Roy. Meteor. Soc.</w:t>
      </w:r>
      <w:r w:rsidRPr="002D442D">
        <w:rPr>
          <w:color w:val="000000" w:themeColor="text1"/>
        </w:rPr>
        <w:t xml:space="preserve">, </w:t>
      </w:r>
      <w:r w:rsidRPr="002D442D">
        <w:rPr>
          <w:b/>
          <w:color w:val="000000" w:themeColor="text1"/>
        </w:rPr>
        <w:t>14</w:t>
      </w:r>
      <w:r>
        <w:rPr>
          <w:b/>
          <w:color w:val="000000" w:themeColor="text1"/>
        </w:rPr>
        <w:t>5</w:t>
      </w:r>
      <w:r>
        <w:rPr>
          <w:color w:val="000000" w:themeColor="text1"/>
        </w:rPr>
        <w:t xml:space="preserve">, 1559–1570, doi: </w:t>
      </w:r>
      <w:r w:rsidRPr="00674F61">
        <w:rPr>
          <w:color w:val="000000" w:themeColor="text1"/>
        </w:rPr>
        <w:t>10.1002/qj.3512</w:t>
      </w:r>
      <w:r>
        <w:rPr>
          <w:color w:val="000000" w:themeColor="text1"/>
        </w:rPr>
        <w:t>.</w:t>
      </w:r>
    </w:p>
    <w:p w14:paraId="0E1BD1F7" w14:textId="78BF47FB" w:rsidR="00417EF7" w:rsidRDefault="00417EF7" w:rsidP="00417EF7">
      <w:pPr>
        <w:spacing w:line="480" w:lineRule="auto"/>
        <w:ind w:left="720" w:hanging="720"/>
        <w:rPr>
          <w:color w:val="000000" w:themeColor="text1"/>
        </w:rPr>
      </w:pPr>
      <w:r>
        <w:rPr>
          <w:color w:val="000000" w:themeColor="text1"/>
        </w:rPr>
        <w:t xml:space="preserve">Black, R. X., and R. M. Dole, 1993: The dynamics of large-scale cyclogenesis over the North Pacific Ocean. </w:t>
      </w:r>
      <w:r>
        <w:rPr>
          <w:i/>
          <w:color w:val="000000" w:themeColor="text1"/>
        </w:rPr>
        <w:t>J. Atmos. Sci.</w:t>
      </w:r>
      <w:r>
        <w:rPr>
          <w:color w:val="000000" w:themeColor="text1"/>
        </w:rPr>
        <w:t xml:space="preserve">, </w:t>
      </w:r>
      <w:r>
        <w:rPr>
          <w:b/>
          <w:color w:val="000000" w:themeColor="text1"/>
        </w:rPr>
        <w:t>50</w:t>
      </w:r>
      <w:r>
        <w:rPr>
          <w:color w:val="000000" w:themeColor="text1"/>
        </w:rPr>
        <w:t xml:space="preserve">, 421–442, doi: </w:t>
      </w:r>
      <w:r w:rsidRPr="00932FBE">
        <w:rPr>
          <w:color w:val="000000" w:themeColor="text1"/>
        </w:rPr>
        <w:t>10.1175/1520-0469(1993)050&lt;0421:TDOLSC&gt;2.0.CO;2</w:t>
      </w:r>
      <w:r>
        <w:rPr>
          <w:color w:val="000000" w:themeColor="text1"/>
        </w:rPr>
        <w:t>.</w:t>
      </w:r>
    </w:p>
    <w:p w14:paraId="5C52A567" w14:textId="77777777" w:rsidR="00417EF7" w:rsidRPr="003B3EBB" w:rsidRDefault="00417EF7" w:rsidP="00417EF7">
      <w:pPr>
        <w:spacing w:line="480" w:lineRule="auto"/>
        <w:ind w:left="720" w:hanging="720"/>
        <w:rPr>
          <w:color w:val="000000" w:themeColor="text1"/>
        </w:rPr>
      </w:pPr>
      <w:r w:rsidRPr="003B3EBB">
        <w:rPr>
          <w:color w:val="000000" w:themeColor="text1"/>
        </w:rPr>
        <w:t xml:space="preserve">Cavallo, S. M., and G. J. Hakim, 2009: Potential vorticity diagnosis of a tropopause polar cyclone. </w:t>
      </w:r>
      <w:r w:rsidRPr="003B3EBB">
        <w:rPr>
          <w:i/>
          <w:iCs/>
          <w:color w:val="000000" w:themeColor="text1"/>
        </w:rPr>
        <w:t>Mon. Wea. Rev.</w:t>
      </w:r>
      <w:r w:rsidRPr="003B3EBB">
        <w:rPr>
          <w:color w:val="000000" w:themeColor="text1"/>
        </w:rPr>
        <w:t xml:space="preserve">, </w:t>
      </w:r>
      <w:r w:rsidRPr="003B3EBB">
        <w:rPr>
          <w:b/>
          <w:bCs/>
          <w:color w:val="000000" w:themeColor="text1"/>
        </w:rPr>
        <w:t>137</w:t>
      </w:r>
      <w:r w:rsidRPr="003B3EBB">
        <w:rPr>
          <w:color w:val="000000" w:themeColor="text1"/>
        </w:rPr>
        <w:t>, 1358–1371, doi: 10.1175/2008MWR2670.1.</w:t>
      </w:r>
    </w:p>
    <w:p w14:paraId="69A054DB" w14:textId="77777777" w:rsidR="00417EF7" w:rsidRPr="003B3EBB" w:rsidRDefault="00417EF7" w:rsidP="00417EF7">
      <w:pPr>
        <w:spacing w:line="480" w:lineRule="auto"/>
        <w:ind w:left="720" w:hanging="720"/>
        <w:rPr>
          <w:color w:val="000000" w:themeColor="text1"/>
        </w:rPr>
      </w:pPr>
      <w:r w:rsidRPr="003B3EBB">
        <w:rPr>
          <w:rFonts w:eastAsia="Cambria"/>
          <w:color w:val="000000" w:themeColor="text1"/>
        </w:rPr>
        <w:t>Cavallo, </w:t>
      </w:r>
      <w:r w:rsidRPr="003B3EBB">
        <w:rPr>
          <w:color w:val="000000" w:themeColor="text1"/>
        </w:rPr>
        <w:t>S. M., and G. J.</w:t>
      </w:r>
      <w:r w:rsidRPr="003B3EBB">
        <w:rPr>
          <w:rFonts w:eastAsia="Cambria"/>
          <w:color w:val="000000" w:themeColor="text1"/>
        </w:rPr>
        <w:t> Hakim</w:t>
      </w:r>
      <w:r w:rsidRPr="003B3EBB">
        <w:rPr>
          <w:color w:val="000000" w:themeColor="text1"/>
        </w:rPr>
        <w:t>, 2010: </w:t>
      </w:r>
      <w:r w:rsidRPr="003B3EBB">
        <w:rPr>
          <w:rFonts w:eastAsia="Cambria"/>
          <w:color w:val="000000" w:themeColor="text1"/>
        </w:rPr>
        <w:t>Composite structure of tropopause polar cyclones</w:t>
      </w:r>
      <w:r w:rsidRPr="003B3EBB">
        <w:rPr>
          <w:color w:val="000000" w:themeColor="text1"/>
        </w:rPr>
        <w:t>. </w:t>
      </w:r>
      <w:r w:rsidRPr="003B3EBB">
        <w:rPr>
          <w:i/>
          <w:iCs/>
          <w:color w:val="000000" w:themeColor="text1"/>
        </w:rPr>
        <w:t>Mon. Wea. Rev.</w:t>
      </w:r>
      <w:r w:rsidRPr="003B3EBB">
        <w:rPr>
          <w:color w:val="000000" w:themeColor="text1"/>
        </w:rPr>
        <w:t>, </w:t>
      </w:r>
      <w:r w:rsidRPr="003B3EBB">
        <w:rPr>
          <w:b/>
          <w:bCs/>
          <w:color w:val="000000" w:themeColor="text1"/>
        </w:rPr>
        <w:t>138</w:t>
      </w:r>
      <w:r w:rsidRPr="003B3EBB">
        <w:rPr>
          <w:color w:val="000000" w:themeColor="text1"/>
        </w:rPr>
        <w:t xml:space="preserve">, 3840–3857, doi: </w:t>
      </w:r>
      <w:r w:rsidRPr="003B3EBB">
        <w:rPr>
          <w:rFonts w:eastAsia="Cambria"/>
          <w:color w:val="000000" w:themeColor="text1"/>
        </w:rPr>
        <w:t>10.1175/2010MWR3371.1</w:t>
      </w:r>
      <w:r w:rsidRPr="003B3EBB">
        <w:rPr>
          <w:color w:val="000000" w:themeColor="text1"/>
        </w:rPr>
        <w:t>.</w:t>
      </w:r>
    </w:p>
    <w:p w14:paraId="46E439BD" w14:textId="77777777" w:rsidR="00417EF7" w:rsidRPr="003B3EBB" w:rsidRDefault="00417EF7" w:rsidP="00417EF7">
      <w:pPr>
        <w:spacing w:line="480" w:lineRule="auto"/>
        <w:ind w:left="720" w:hanging="720"/>
        <w:rPr>
          <w:color w:val="000000" w:themeColor="text1"/>
        </w:rPr>
      </w:pPr>
      <w:r w:rsidRPr="003B3EBB">
        <w:rPr>
          <w:color w:val="000000" w:themeColor="text1"/>
        </w:rPr>
        <w:t xml:space="preserve">Cavallo, S. M., and G. J. Hakim, 2012: Radiative impact on tropopause polar vortices over the Arctic. </w:t>
      </w:r>
      <w:r w:rsidRPr="003B3EBB">
        <w:rPr>
          <w:i/>
          <w:iCs/>
          <w:color w:val="000000" w:themeColor="text1"/>
        </w:rPr>
        <w:t>Mon. Wea. Rev.</w:t>
      </w:r>
      <w:r w:rsidRPr="003B3EBB">
        <w:rPr>
          <w:color w:val="000000" w:themeColor="text1"/>
        </w:rPr>
        <w:t xml:space="preserve">, </w:t>
      </w:r>
      <w:r w:rsidRPr="003B3EBB">
        <w:rPr>
          <w:b/>
          <w:bCs/>
          <w:color w:val="000000" w:themeColor="text1"/>
        </w:rPr>
        <w:t>140</w:t>
      </w:r>
      <w:r w:rsidRPr="003B3EBB">
        <w:rPr>
          <w:color w:val="000000" w:themeColor="text1"/>
        </w:rPr>
        <w:t>, 1683–1702, doi: 10.1175/MWR-D-11-00182.1.</w:t>
      </w:r>
    </w:p>
    <w:p w14:paraId="3C87DBE1" w14:textId="77777777" w:rsidR="00417EF7" w:rsidRDefault="00417EF7" w:rsidP="00417EF7">
      <w:pPr>
        <w:spacing w:line="480" w:lineRule="auto"/>
        <w:ind w:left="720" w:hanging="720"/>
        <w:rPr>
          <w:color w:val="000000" w:themeColor="text1"/>
        </w:rPr>
      </w:pPr>
      <w:r w:rsidRPr="003B3EBB">
        <w:rPr>
          <w:color w:val="000000" w:themeColor="text1"/>
        </w:rPr>
        <w:t xml:space="preserve">Cavallo, S. M., and G. J. Hakim, 2013: Physical mechanisms of tropopause polar vortex intensity change. </w:t>
      </w:r>
      <w:r w:rsidRPr="003B3EBB">
        <w:rPr>
          <w:i/>
          <w:iCs/>
          <w:color w:val="000000" w:themeColor="text1"/>
        </w:rPr>
        <w:t>J. Atmos. Sci.</w:t>
      </w:r>
      <w:r w:rsidRPr="003B3EBB">
        <w:rPr>
          <w:color w:val="000000" w:themeColor="text1"/>
        </w:rPr>
        <w:t xml:space="preserve">, </w:t>
      </w:r>
      <w:r w:rsidRPr="003B3EBB">
        <w:rPr>
          <w:b/>
          <w:bCs/>
          <w:color w:val="000000" w:themeColor="text1"/>
        </w:rPr>
        <w:t>70</w:t>
      </w:r>
      <w:r w:rsidRPr="003B3EBB">
        <w:rPr>
          <w:color w:val="000000" w:themeColor="text1"/>
        </w:rPr>
        <w:t>, 3359–3373, doi: 10.1175/JAS-D-13-088.1.</w:t>
      </w:r>
    </w:p>
    <w:p w14:paraId="430B26DF" w14:textId="77777777" w:rsidR="00417EF7" w:rsidRDefault="00417EF7" w:rsidP="00417EF7">
      <w:pPr>
        <w:spacing w:line="480" w:lineRule="auto"/>
        <w:ind w:left="720" w:hanging="720"/>
        <w:rPr>
          <w:color w:val="000000" w:themeColor="text1"/>
        </w:rPr>
      </w:pPr>
      <w:r w:rsidRPr="00682DC0">
        <w:rPr>
          <w:color w:val="000000" w:themeColor="text1"/>
        </w:rPr>
        <w:lastRenderedPageBreak/>
        <w:t>Charney, J.G.</w:t>
      </w:r>
      <w:r>
        <w:rPr>
          <w:color w:val="000000" w:themeColor="text1"/>
        </w:rPr>
        <w:t>,</w:t>
      </w:r>
      <w:r w:rsidRPr="00682DC0">
        <w:rPr>
          <w:color w:val="000000" w:themeColor="text1"/>
        </w:rPr>
        <w:t xml:space="preserve"> and </w:t>
      </w:r>
      <w:r>
        <w:rPr>
          <w:color w:val="000000" w:themeColor="text1"/>
        </w:rPr>
        <w:t xml:space="preserve">M. E. Stern, </w:t>
      </w:r>
      <w:r w:rsidRPr="00682DC0">
        <w:rPr>
          <w:color w:val="000000" w:themeColor="text1"/>
        </w:rPr>
        <w:t>1962</w:t>
      </w:r>
      <w:r>
        <w:rPr>
          <w:color w:val="000000" w:themeColor="text1"/>
        </w:rPr>
        <w:t>:</w:t>
      </w:r>
      <w:r w:rsidRPr="00682DC0">
        <w:rPr>
          <w:color w:val="000000" w:themeColor="text1"/>
        </w:rPr>
        <w:t xml:space="preserve"> On the stability of internal baroclinic jets in a rotating atmosphere. </w:t>
      </w:r>
      <w:r w:rsidRPr="00682DC0">
        <w:rPr>
          <w:i/>
          <w:color w:val="000000" w:themeColor="text1"/>
        </w:rPr>
        <w:t>J. Atmos. Sci.</w:t>
      </w:r>
      <w:r w:rsidRPr="00682DC0">
        <w:rPr>
          <w:color w:val="000000" w:themeColor="text1"/>
        </w:rPr>
        <w:t xml:space="preserve">, </w:t>
      </w:r>
      <w:r w:rsidRPr="00682DC0">
        <w:rPr>
          <w:b/>
          <w:color w:val="000000" w:themeColor="text1"/>
        </w:rPr>
        <w:t>19</w:t>
      </w:r>
      <w:r w:rsidRPr="00682DC0">
        <w:rPr>
          <w:color w:val="000000" w:themeColor="text1"/>
        </w:rPr>
        <w:t>, 159–172</w:t>
      </w:r>
      <w:r>
        <w:rPr>
          <w:color w:val="000000" w:themeColor="text1"/>
        </w:rPr>
        <w:t xml:space="preserve">, doi: </w:t>
      </w:r>
      <w:r w:rsidRPr="00682DC0">
        <w:rPr>
          <w:color w:val="000000" w:themeColor="text1"/>
        </w:rPr>
        <w:t>10.1175/1520-0469%281962%29019&lt;0159%3AOTSOIB&gt;2.0.CO%3B2</w:t>
      </w:r>
      <w:r>
        <w:rPr>
          <w:color w:val="000000" w:themeColor="text1"/>
        </w:rPr>
        <w:t>.</w:t>
      </w:r>
    </w:p>
    <w:p w14:paraId="1DDF1494" w14:textId="77777777" w:rsidR="00417EF7" w:rsidRDefault="00417EF7" w:rsidP="00417EF7">
      <w:pPr>
        <w:spacing w:line="480" w:lineRule="auto"/>
        <w:ind w:left="720" w:hanging="720"/>
        <w:rPr>
          <w:color w:val="000000" w:themeColor="text1"/>
        </w:rPr>
      </w:pPr>
      <w:r w:rsidRPr="003B3EBB">
        <w:rPr>
          <w:color w:val="000000" w:themeColor="text1"/>
        </w:rPr>
        <w:t xml:space="preserve">Christenson, C. E., J. E. Martin, Z. J. Handlos, 2017: A synoptic climatology of Northern Hemisphere, cold season polar and subtropical jet superposition events. </w:t>
      </w:r>
      <w:r w:rsidRPr="003B3EBB">
        <w:rPr>
          <w:i/>
          <w:color w:val="000000" w:themeColor="text1"/>
        </w:rPr>
        <w:t>J. Climate</w:t>
      </w:r>
      <w:r w:rsidRPr="003B3EBB">
        <w:rPr>
          <w:color w:val="000000" w:themeColor="text1"/>
        </w:rPr>
        <w:t xml:space="preserve">, </w:t>
      </w:r>
      <w:r w:rsidRPr="003B3EBB">
        <w:rPr>
          <w:b/>
          <w:color w:val="000000" w:themeColor="text1"/>
        </w:rPr>
        <w:t>30</w:t>
      </w:r>
      <w:r w:rsidRPr="003B3EBB">
        <w:rPr>
          <w:color w:val="000000" w:themeColor="text1"/>
        </w:rPr>
        <w:t>, 7231–7246, doi: 10.1175/JCLI-D-16-0565.1.</w:t>
      </w:r>
    </w:p>
    <w:p w14:paraId="122523E5" w14:textId="6F1095B3" w:rsidR="00417EF7" w:rsidRDefault="00417EF7" w:rsidP="00417EF7">
      <w:pPr>
        <w:spacing w:line="480" w:lineRule="auto"/>
        <w:ind w:left="720" w:hanging="720"/>
        <w:rPr>
          <w:color w:val="000000" w:themeColor="text1"/>
        </w:rPr>
      </w:pPr>
      <w:r w:rsidRPr="00682DC0">
        <w:rPr>
          <w:rFonts w:eastAsia="Cambria"/>
          <w:color w:val="000000" w:themeColor="text1"/>
        </w:rPr>
        <w:t>Davis, </w:t>
      </w:r>
      <w:r w:rsidRPr="00682DC0">
        <w:rPr>
          <w:color w:val="000000" w:themeColor="text1"/>
        </w:rPr>
        <w:t xml:space="preserve">C. A., and K. </w:t>
      </w:r>
      <w:r w:rsidR="003D7FB6">
        <w:rPr>
          <w:color w:val="000000" w:themeColor="text1"/>
        </w:rPr>
        <w:t>A</w:t>
      </w:r>
      <w:r w:rsidRPr="00682DC0">
        <w:rPr>
          <w:color w:val="000000" w:themeColor="text1"/>
        </w:rPr>
        <w:t>.</w:t>
      </w:r>
      <w:r w:rsidRPr="00682DC0">
        <w:rPr>
          <w:rFonts w:eastAsia="Cambria"/>
          <w:color w:val="000000" w:themeColor="text1"/>
        </w:rPr>
        <w:t> Emanuel</w:t>
      </w:r>
      <w:r w:rsidRPr="00682DC0">
        <w:rPr>
          <w:color w:val="000000" w:themeColor="text1"/>
        </w:rPr>
        <w:t>, 1991: </w:t>
      </w:r>
      <w:r w:rsidRPr="00682DC0">
        <w:rPr>
          <w:rFonts w:eastAsia="Cambria"/>
          <w:color w:val="000000" w:themeColor="text1"/>
        </w:rPr>
        <w:t>Potential vorticity diagnostics of cyclogenesis</w:t>
      </w:r>
      <w:r w:rsidRPr="00682DC0">
        <w:rPr>
          <w:color w:val="000000" w:themeColor="text1"/>
        </w:rPr>
        <w:t>. </w:t>
      </w:r>
      <w:r w:rsidRPr="00682DC0">
        <w:rPr>
          <w:i/>
          <w:iCs/>
          <w:color w:val="000000" w:themeColor="text1"/>
        </w:rPr>
        <w:t>Mon. Wea. Rev.</w:t>
      </w:r>
      <w:r w:rsidRPr="00682DC0">
        <w:rPr>
          <w:color w:val="000000" w:themeColor="text1"/>
        </w:rPr>
        <w:t>, </w:t>
      </w:r>
      <w:r w:rsidRPr="00682DC0">
        <w:rPr>
          <w:b/>
          <w:bCs/>
          <w:color w:val="000000" w:themeColor="text1"/>
        </w:rPr>
        <w:t>119</w:t>
      </w:r>
      <w:r w:rsidRPr="00682DC0">
        <w:rPr>
          <w:color w:val="000000" w:themeColor="text1"/>
        </w:rPr>
        <w:t xml:space="preserve">, 1929–1953, doi: </w:t>
      </w:r>
      <w:r w:rsidRPr="00682DC0">
        <w:rPr>
          <w:rFonts w:eastAsia="Cambria"/>
          <w:color w:val="000000" w:themeColor="text1"/>
        </w:rPr>
        <w:t>10.1175/1520</w:t>
      </w:r>
      <w:r>
        <w:rPr>
          <w:color w:val="000000" w:themeColor="text1"/>
        </w:rPr>
        <w:t>-</w:t>
      </w:r>
      <w:r w:rsidRPr="00682DC0">
        <w:rPr>
          <w:rFonts w:eastAsia="Cambria"/>
          <w:color w:val="000000" w:themeColor="text1"/>
        </w:rPr>
        <w:t>0493(1991)119&lt;1929:PVDOC&gt;2.0.CO;2</w:t>
      </w:r>
      <w:r w:rsidRPr="00682DC0">
        <w:rPr>
          <w:color w:val="000000" w:themeColor="text1"/>
        </w:rPr>
        <w:t>.</w:t>
      </w:r>
    </w:p>
    <w:p w14:paraId="35DECF86" w14:textId="77777777" w:rsidR="00417EF7" w:rsidRDefault="00417EF7" w:rsidP="00417EF7">
      <w:pPr>
        <w:spacing w:line="480" w:lineRule="auto"/>
        <w:ind w:left="720" w:hanging="720"/>
        <w:rPr>
          <w:color w:val="000000" w:themeColor="text1"/>
        </w:rPr>
      </w:pPr>
      <w:r w:rsidRPr="00674F61">
        <w:rPr>
          <w:rFonts w:eastAsia="Cambria"/>
          <w:color w:val="000000" w:themeColor="text1"/>
        </w:rPr>
        <w:t>Davis, </w:t>
      </w:r>
      <w:r w:rsidRPr="00674F61">
        <w:rPr>
          <w:color w:val="000000" w:themeColor="text1"/>
        </w:rPr>
        <w:t>C. A., 1992a: </w:t>
      </w:r>
      <w:r w:rsidRPr="00674F61">
        <w:rPr>
          <w:rFonts w:eastAsia="Cambria"/>
          <w:color w:val="000000" w:themeColor="text1"/>
        </w:rPr>
        <w:t>A potential vorticity diagnosis of the importance of initial structure and condensational heating in observed cyclogenesis</w:t>
      </w:r>
      <w:r w:rsidRPr="00674F61">
        <w:rPr>
          <w:color w:val="000000" w:themeColor="text1"/>
        </w:rPr>
        <w:t>. </w:t>
      </w:r>
      <w:r w:rsidRPr="00674F61">
        <w:rPr>
          <w:i/>
          <w:iCs/>
          <w:color w:val="000000" w:themeColor="text1"/>
        </w:rPr>
        <w:t>Mon. Wea. Rev.</w:t>
      </w:r>
      <w:r w:rsidRPr="00674F61">
        <w:rPr>
          <w:color w:val="000000" w:themeColor="text1"/>
        </w:rPr>
        <w:t>, </w:t>
      </w:r>
      <w:r w:rsidRPr="00674F61">
        <w:rPr>
          <w:b/>
          <w:bCs/>
          <w:color w:val="000000" w:themeColor="text1"/>
        </w:rPr>
        <w:t>120</w:t>
      </w:r>
      <w:r w:rsidRPr="00674F61">
        <w:rPr>
          <w:color w:val="000000" w:themeColor="text1"/>
        </w:rPr>
        <w:t>, 2409–2428, doi:</w:t>
      </w:r>
      <w:r>
        <w:rPr>
          <w:color w:val="000000" w:themeColor="text1"/>
        </w:rPr>
        <w:t xml:space="preserve"> </w:t>
      </w:r>
      <w:r w:rsidRPr="00674F61">
        <w:rPr>
          <w:color w:val="000000" w:themeColor="text1"/>
        </w:rPr>
        <w:t xml:space="preserve"> </w:t>
      </w:r>
      <w:r w:rsidRPr="00674F61">
        <w:rPr>
          <w:rFonts w:eastAsia="Cambria"/>
          <w:color w:val="000000" w:themeColor="text1"/>
        </w:rPr>
        <w:t>10.1175/1520-0493(1992)120&lt;2409:APVDOT&gt;2.0.CO;2</w:t>
      </w:r>
      <w:r w:rsidRPr="00674F61">
        <w:rPr>
          <w:color w:val="000000" w:themeColor="text1"/>
        </w:rPr>
        <w:t>.</w:t>
      </w:r>
    </w:p>
    <w:p w14:paraId="3FCC1E86" w14:textId="512FBEA9" w:rsidR="00417EF7" w:rsidRDefault="00417EF7" w:rsidP="00417EF7">
      <w:pPr>
        <w:spacing w:line="480" w:lineRule="auto"/>
        <w:ind w:left="720" w:hanging="720"/>
        <w:rPr>
          <w:color w:val="000000" w:themeColor="text1"/>
        </w:rPr>
      </w:pPr>
      <w:r w:rsidRPr="00932FBE">
        <w:rPr>
          <w:rFonts w:eastAsia="Cambria"/>
          <w:color w:val="000000" w:themeColor="text1"/>
        </w:rPr>
        <w:t>Davis, </w:t>
      </w:r>
      <w:r w:rsidRPr="00932FBE">
        <w:rPr>
          <w:color w:val="000000" w:themeColor="text1"/>
        </w:rPr>
        <w:t>C. A., 1992</w:t>
      </w:r>
      <w:r>
        <w:rPr>
          <w:color w:val="000000" w:themeColor="text1"/>
        </w:rPr>
        <w:t>b</w:t>
      </w:r>
      <w:r w:rsidRPr="00932FBE">
        <w:rPr>
          <w:color w:val="000000" w:themeColor="text1"/>
        </w:rPr>
        <w:t>: </w:t>
      </w:r>
      <w:r w:rsidRPr="00932FBE">
        <w:rPr>
          <w:rFonts w:eastAsia="Cambria"/>
          <w:color w:val="000000" w:themeColor="text1"/>
        </w:rPr>
        <w:t>Piecewise potential vorticity inversion</w:t>
      </w:r>
      <w:r w:rsidRPr="00932FBE">
        <w:rPr>
          <w:color w:val="000000" w:themeColor="text1"/>
        </w:rPr>
        <w:t>. </w:t>
      </w:r>
      <w:r w:rsidRPr="00932FBE">
        <w:rPr>
          <w:i/>
          <w:iCs/>
          <w:color w:val="000000" w:themeColor="text1"/>
        </w:rPr>
        <w:t>J. Atmos. Sci.</w:t>
      </w:r>
      <w:r w:rsidRPr="00932FBE">
        <w:rPr>
          <w:color w:val="000000" w:themeColor="text1"/>
        </w:rPr>
        <w:t>, </w:t>
      </w:r>
      <w:r w:rsidRPr="00932FBE">
        <w:rPr>
          <w:b/>
          <w:bCs/>
          <w:color w:val="000000" w:themeColor="text1"/>
        </w:rPr>
        <w:t>49</w:t>
      </w:r>
      <w:r w:rsidRPr="00932FBE">
        <w:rPr>
          <w:color w:val="000000" w:themeColor="text1"/>
        </w:rPr>
        <w:t>, 1397–1411, doi</w:t>
      </w:r>
      <w:r>
        <w:rPr>
          <w:color w:val="000000" w:themeColor="text1"/>
        </w:rPr>
        <w:t xml:space="preserve">: </w:t>
      </w:r>
      <w:r w:rsidRPr="00932FBE">
        <w:rPr>
          <w:rFonts w:eastAsia="Cambria"/>
          <w:color w:val="000000" w:themeColor="text1"/>
        </w:rPr>
        <w:t>10.1175/1520-0469(1992)049&lt;1397:PPVI&gt;2.0.CO;2</w:t>
      </w:r>
      <w:r w:rsidRPr="00932FBE">
        <w:rPr>
          <w:color w:val="000000" w:themeColor="text1"/>
        </w:rPr>
        <w:t>.</w:t>
      </w:r>
    </w:p>
    <w:p w14:paraId="2FB23748" w14:textId="1B5AE962" w:rsidR="008C7C65" w:rsidRPr="008C7C65" w:rsidRDefault="008C7C65" w:rsidP="00417EF7">
      <w:pPr>
        <w:spacing w:line="480" w:lineRule="auto"/>
        <w:ind w:left="720" w:hanging="720"/>
        <w:rPr>
          <w:color w:val="000000" w:themeColor="text1"/>
        </w:rPr>
      </w:pPr>
      <w:r>
        <w:rPr>
          <w:color w:val="000000" w:themeColor="text1"/>
        </w:rPr>
        <w:t xml:space="preserve">Davis, C. A., E. Donall Grell, and M. A. Shapiro, 1996: The balanced dynamical nature of a rapidly intensifying oceanic cyclone. </w:t>
      </w:r>
      <w:r>
        <w:rPr>
          <w:i/>
          <w:color w:val="000000" w:themeColor="text1"/>
        </w:rPr>
        <w:t>Mon. Wea. Rev.</w:t>
      </w:r>
      <w:r>
        <w:rPr>
          <w:color w:val="000000" w:themeColor="text1"/>
        </w:rPr>
        <w:t xml:space="preserve">, </w:t>
      </w:r>
      <w:r>
        <w:rPr>
          <w:b/>
          <w:color w:val="000000" w:themeColor="text1"/>
        </w:rPr>
        <w:t>124</w:t>
      </w:r>
      <w:r>
        <w:rPr>
          <w:color w:val="000000" w:themeColor="text1"/>
        </w:rPr>
        <w:t xml:space="preserve">, 3–26, doi: </w:t>
      </w:r>
      <w:r w:rsidRPr="008C7C65">
        <w:rPr>
          <w:color w:val="000000" w:themeColor="text1"/>
        </w:rPr>
        <w:t>10.1175/1520-0493(1996)124&lt;0003:TBDNOA&gt;2.0.CO;2</w:t>
      </w:r>
      <w:r>
        <w:rPr>
          <w:color w:val="000000" w:themeColor="text1"/>
        </w:rPr>
        <w:t>.</w:t>
      </w:r>
    </w:p>
    <w:p w14:paraId="14BBC22A" w14:textId="7881E7A4" w:rsidR="00417EF7" w:rsidRDefault="00417EF7" w:rsidP="00417EF7">
      <w:pPr>
        <w:spacing w:line="480" w:lineRule="auto"/>
        <w:ind w:left="720" w:hanging="720"/>
        <w:rPr>
          <w:color w:val="000000" w:themeColor="text1"/>
        </w:rPr>
      </w:pPr>
      <w:r w:rsidRPr="003B3EBB">
        <w:rPr>
          <w:color w:val="000000" w:themeColor="text1"/>
        </w:rPr>
        <w:t>Fröhlich, L., P. Knippertz, A. H. Fink, and E. Hohberger, 2013: An objective climatology of tropical plumes. </w:t>
      </w:r>
      <w:r w:rsidRPr="003B3EBB">
        <w:rPr>
          <w:i/>
          <w:iCs/>
          <w:color w:val="000000" w:themeColor="text1"/>
        </w:rPr>
        <w:t>J. Climate</w:t>
      </w:r>
      <w:r w:rsidRPr="003B3EBB">
        <w:rPr>
          <w:color w:val="000000" w:themeColor="text1"/>
        </w:rPr>
        <w:t>, </w:t>
      </w:r>
      <w:r w:rsidRPr="003B3EBB">
        <w:rPr>
          <w:b/>
          <w:bCs/>
          <w:color w:val="000000" w:themeColor="text1"/>
        </w:rPr>
        <w:t>26</w:t>
      </w:r>
      <w:r w:rsidRPr="003B3EBB">
        <w:rPr>
          <w:color w:val="000000" w:themeColor="text1"/>
        </w:rPr>
        <w:t>, 5044–5060, doi: 10.1175/JCLI-D-12-00351.1.</w:t>
      </w:r>
    </w:p>
    <w:p w14:paraId="74AD18AB" w14:textId="77777777" w:rsidR="00F941B9" w:rsidRPr="003B3EBB" w:rsidRDefault="00F941B9" w:rsidP="00F941B9">
      <w:pPr>
        <w:spacing w:line="480" w:lineRule="auto"/>
        <w:ind w:left="720" w:hanging="720"/>
        <w:rPr>
          <w:color w:val="000000" w:themeColor="text1"/>
        </w:rPr>
      </w:pPr>
      <w:r w:rsidRPr="003B3EBB">
        <w:rPr>
          <w:color w:val="000000" w:themeColor="text1"/>
        </w:rPr>
        <w:t xml:space="preserve">Grams, C. M., H. Wernli, M. Böttcher, J. Čampa, U. Corsmeier, S. C. Jones, J. H. Keller, C.-J. Lenz, and L. Wiegand, 2011: The key role of diabatic processes in modifying the upper- tropospheric wave guide: A North Atlantic case-study. </w:t>
      </w:r>
      <w:r w:rsidRPr="003B3EBB">
        <w:rPr>
          <w:i/>
          <w:iCs/>
          <w:color w:val="000000" w:themeColor="text1"/>
        </w:rPr>
        <w:t>Quart. J. Roy. Meteor. Soc.</w:t>
      </w:r>
      <w:r w:rsidRPr="003B3EBB">
        <w:rPr>
          <w:color w:val="000000" w:themeColor="text1"/>
        </w:rPr>
        <w:t xml:space="preserve">, </w:t>
      </w:r>
      <w:r w:rsidRPr="003B3EBB">
        <w:rPr>
          <w:b/>
          <w:bCs/>
          <w:color w:val="000000" w:themeColor="text1"/>
        </w:rPr>
        <w:t xml:space="preserve">137, </w:t>
      </w:r>
      <w:r w:rsidRPr="003B3EBB">
        <w:rPr>
          <w:color w:val="000000" w:themeColor="text1"/>
        </w:rPr>
        <w:t>2174–2193, doi: 10.1002/qj.891.</w:t>
      </w:r>
    </w:p>
    <w:p w14:paraId="2F9860F1" w14:textId="77777777" w:rsidR="00F941B9" w:rsidRPr="003B3EBB" w:rsidRDefault="00F941B9" w:rsidP="00F941B9">
      <w:pPr>
        <w:spacing w:line="480" w:lineRule="auto"/>
        <w:ind w:left="720" w:hanging="720"/>
        <w:rPr>
          <w:color w:val="000000" w:themeColor="text1"/>
        </w:rPr>
      </w:pPr>
      <w:r w:rsidRPr="003B3EBB">
        <w:rPr>
          <w:color w:val="000000" w:themeColor="text1"/>
        </w:rPr>
        <w:lastRenderedPageBreak/>
        <w:t xml:space="preserve">Grams, C. M., S. C. Jones, C. A. Davis, P. A. Harr, and M. Weissmann, 2013: The impact of Typhoon Jangmi (2008) on the midlatitude flow. Part I: Upper-level ridgebuilding and modification of the jet. </w:t>
      </w:r>
      <w:r w:rsidRPr="003B3EBB">
        <w:rPr>
          <w:i/>
          <w:iCs/>
          <w:color w:val="000000" w:themeColor="text1"/>
        </w:rPr>
        <w:t xml:space="preserve">Quart. J. Roy. Meteor. Soc., </w:t>
      </w:r>
      <w:r w:rsidRPr="003B3EBB">
        <w:rPr>
          <w:b/>
          <w:bCs/>
          <w:color w:val="000000" w:themeColor="text1"/>
        </w:rPr>
        <w:t xml:space="preserve">139, </w:t>
      </w:r>
      <w:r w:rsidRPr="003B3EBB">
        <w:rPr>
          <w:color w:val="000000" w:themeColor="text1"/>
        </w:rPr>
        <w:t>2148−2164, doi: 10.1002/qj.2091.</w:t>
      </w:r>
    </w:p>
    <w:p w14:paraId="2AA08693" w14:textId="607110D2" w:rsidR="00F941B9" w:rsidRDefault="00F941B9" w:rsidP="00417EF7">
      <w:pPr>
        <w:spacing w:line="480" w:lineRule="auto"/>
        <w:ind w:left="720" w:hanging="720"/>
        <w:rPr>
          <w:color w:val="000000" w:themeColor="text1"/>
        </w:rPr>
      </w:pPr>
      <w:r w:rsidRPr="003B3EBB">
        <w:rPr>
          <w:color w:val="000000" w:themeColor="text1"/>
        </w:rPr>
        <w:t xml:space="preserve">Grams, C. M., and H. M. Archambault, 2016: The key role of diabatic outflow in amplifying the midlatitude flow: A representative case study of weather systems surrounding western North Pacific extratropical transition. </w:t>
      </w:r>
      <w:r w:rsidRPr="003B3EBB">
        <w:rPr>
          <w:i/>
          <w:iCs/>
          <w:color w:val="000000" w:themeColor="text1"/>
        </w:rPr>
        <w:t>Mon. Wea. Rev.</w:t>
      </w:r>
      <w:r w:rsidRPr="003B3EBB">
        <w:rPr>
          <w:color w:val="000000" w:themeColor="text1"/>
        </w:rPr>
        <w:t xml:space="preserve">, </w:t>
      </w:r>
      <w:r w:rsidRPr="003B3EBB">
        <w:rPr>
          <w:b/>
          <w:bCs/>
          <w:color w:val="000000" w:themeColor="text1"/>
        </w:rPr>
        <w:t>144</w:t>
      </w:r>
      <w:r w:rsidRPr="003B3EBB">
        <w:rPr>
          <w:color w:val="000000" w:themeColor="text1"/>
        </w:rPr>
        <w:t>, 3847–3869, doi: 10.1175/MWR-D-15-0419.1.</w:t>
      </w:r>
    </w:p>
    <w:p w14:paraId="021483AD" w14:textId="77777777" w:rsidR="00417EF7" w:rsidRDefault="00417EF7" w:rsidP="00417EF7">
      <w:pPr>
        <w:spacing w:line="480" w:lineRule="auto"/>
        <w:ind w:left="720" w:hanging="720"/>
        <w:rPr>
          <w:color w:val="000000" w:themeColor="text1"/>
        </w:rPr>
      </w:pPr>
      <w:r w:rsidRPr="003B3EBB">
        <w:rPr>
          <w:color w:val="000000" w:themeColor="text1"/>
        </w:rPr>
        <w:t xml:space="preserve">Hakim, G. J., 2000: Climatology of coherent structures on the extratropical tropopause. </w:t>
      </w:r>
      <w:r w:rsidRPr="003B3EBB">
        <w:rPr>
          <w:i/>
          <w:iCs/>
          <w:color w:val="000000" w:themeColor="text1"/>
        </w:rPr>
        <w:t>Mon. Wea. Rev.</w:t>
      </w:r>
      <w:r w:rsidRPr="003B3EBB">
        <w:rPr>
          <w:color w:val="000000" w:themeColor="text1"/>
        </w:rPr>
        <w:t xml:space="preserve">, </w:t>
      </w:r>
      <w:r w:rsidRPr="003B3EBB">
        <w:rPr>
          <w:b/>
          <w:bCs/>
          <w:color w:val="000000" w:themeColor="text1"/>
        </w:rPr>
        <w:t>128</w:t>
      </w:r>
      <w:r w:rsidRPr="003B3EBB">
        <w:rPr>
          <w:color w:val="000000" w:themeColor="text1"/>
        </w:rPr>
        <w:t>, 385–406, doi: 10.1175/1520-0493%282000%29128&lt;0385%3ACOCSOT&gt;2.0.CO%3B2.</w:t>
      </w:r>
    </w:p>
    <w:p w14:paraId="39768886" w14:textId="437A2952" w:rsidR="00417EF7" w:rsidRDefault="00417EF7" w:rsidP="00417EF7">
      <w:pPr>
        <w:spacing w:line="480" w:lineRule="auto"/>
        <w:ind w:left="720" w:hanging="720"/>
        <w:rPr>
          <w:color w:val="000000" w:themeColor="text1"/>
        </w:rPr>
      </w:pPr>
      <w:r w:rsidRPr="003B3EBB">
        <w:rPr>
          <w:color w:val="000000" w:themeColor="text1"/>
        </w:rPr>
        <w:t>Hakim, G. J., D. Keyser, and L. F. Bosart, 1996: The Ohio Valley wave-merger cyclogenesis event of 25–26 January 1978. Part II: Diagnosis using quasigeostrophic potential vorticity inversion. </w:t>
      </w:r>
      <w:r w:rsidRPr="003B3EBB">
        <w:rPr>
          <w:i/>
          <w:iCs/>
          <w:color w:val="000000" w:themeColor="text1"/>
        </w:rPr>
        <w:t>Mon. Wea. Rev.</w:t>
      </w:r>
      <w:r w:rsidRPr="003B3EBB">
        <w:rPr>
          <w:color w:val="000000" w:themeColor="text1"/>
        </w:rPr>
        <w:t>, </w:t>
      </w:r>
      <w:r w:rsidRPr="003B3EBB">
        <w:rPr>
          <w:b/>
          <w:bCs/>
          <w:color w:val="000000" w:themeColor="text1"/>
        </w:rPr>
        <w:t>124</w:t>
      </w:r>
      <w:r w:rsidRPr="003B3EBB">
        <w:rPr>
          <w:color w:val="000000" w:themeColor="text1"/>
        </w:rPr>
        <w:t>, 2176–2205, doi: 10.1175/1520-0493(1996)124&lt;2176:TOVWMC&gt;2.0.CO;2.</w:t>
      </w:r>
    </w:p>
    <w:p w14:paraId="13604BE2" w14:textId="142FD7DD" w:rsidR="00417EF7" w:rsidRDefault="00417EF7" w:rsidP="00417EF7">
      <w:pPr>
        <w:spacing w:line="480" w:lineRule="auto"/>
        <w:ind w:left="720" w:hanging="720"/>
        <w:rPr>
          <w:color w:val="000000" w:themeColor="text1"/>
        </w:rPr>
      </w:pPr>
      <w:r w:rsidRPr="003B3EBB">
        <w:rPr>
          <w:color w:val="000000" w:themeColor="text1"/>
        </w:rPr>
        <w:t xml:space="preserve">Handlos, Z. J., and J. E. Martin, 2016: Composite analysis of large-scale environments conducive to west Pacific polar/subtropical jet superposition. </w:t>
      </w:r>
      <w:r w:rsidRPr="003B3EBB">
        <w:rPr>
          <w:i/>
          <w:color w:val="000000" w:themeColor="text1"/>
        </w:rPr>
        <w:t>J. Climate</w:t>
      </w:r>
      <w:r w:rsidRPr="003B3EBB">
        <w:rPr>
          <w:color w:val="000000" w:themeColor="text1"/>
        </w:rPr>
        <w:t xml:space="preserve">, </w:t>
      </w:r>
      <w:r w:rsidRPr="003B3EBB">
        <w:rPr>
          <w:b/>
          <w:color w:val="000000" w:themeColor="text1"/>
        </w:rPr>
        <w:t>29</w:t>
      </w:r>
      <w:r w:rsidRPr="003B3EBB">
        <w:rPr>
          <w:color w:val="000000" w:themeColor="text1"/>
        </w:rPr>
        <w:t>, 7145–7165, doi: 10.1175/JCLI-D-16-0044.1.</w:t>
      </w:r>
    </w:p>
    <w:p w14:paraId="704BD05A" w14:textId="77777777" w:rsidR="00417EF7" w:rsidRDefault="00417EF7" w:rsidP="00417EF7">
      <w:pPr>
        <w:spacing w:line="480" w:lineRule="auto"/>
        <w:ind w:left="720" w:hanging="720"/>
        <w:rPr>
          <w:color w:val="000000" w:themeColor="text1"/>
        </w:rPr>
      </w:pPr>
      <w:r w:rsidRPr="00682DC0">
        <w:rPr>
          <w:rFonts w:eastAsia="Cambria"/>
          <w:color w:val="000000" w:themeColor="text1"/>
        </w:rPr>
        <w:t>Holopainen, </w:t>
      </w:r>
      <w:r w:rsidRPr="00682DC0">
        <w:rPr>
          <w:color w:val="000000" w:themeColor="text1"/>
        </w:rPr>
        <w:t>E. O., and J.</w:t>
      </w:r>
      <w:r w:rsidRPr="00682DC0">
        <w:rPr>
          <w:rFonts w:eastAsia="Cambria"/>
          <w:color w:val="000000" w:themeColor="text1"/>
        </w:rPr>
        <w:t> Kaurola</w:t>
      </w:r>
      <w:r w:rsidRPr="00682DC0">
        <w:rPr>
          <w:color w:val="000000" w:themeColor="text1"/>
        </w:rPr>
        <w:t>, 1991: </w:t>
      </w:r>
      <w:r w:rsidRPr="00682DC0">
        <w:rPr>
          <w:rFonts w:eastAsia="Cambria"/>
          <w:color w:val="000000" w:themeColor="text1"/>
        </w:rPr>
        <w:t>Decomposing the atmospheric flow using potential vorticity framework</w:t>
      </w:r>
      <w:r w:rsidRPr="00682DC0">
        <w:rPr>
          <w:color w:val="000000" w:themeColor="text1"/>
        </w:rPr>
        <w:t>. </w:t>
      </w:r>
      <w:r w:rsidRPr="00682DC0">
        <w:rPr>
          <w:i/>
          <w:iCs/>
          <w:color w:val="000000" w:themeColor="text1"/>
        </w:rPr>
        <w:t>J. Atmos. Sci.</w:t>
      </w:r>
      <w:r w:rsidRPr="00682DC0">
        <w:rPr>
          <w:color w:val="000000" w:themeColor="text1"/>
        </w:rPr>
        <w:t>, </w:t>
      </w:r>
      <w:r w:rsidRPr="00682DC0">
        <w:rPr>
          <w:b/>
          <w:bCs/>
          <w:color w:val="000000" w:themeColor="text1"/>
        </w:rPr>
        <w:t>48</w:t>
      </w:r>
      <w:r w:rsidRPr="00682DC0">
        <w:rPr>
          <w:color w:val="000000" w:themeColor="text1"/>
        </w:rPr>
        <w:t>, 2614–2625, doi:</w:t>
      </w:r>
      <w:r>
        <w:rPr>
          <w:color w:val="000000" w:themeColor="text1"/>
        </w:rPr>
        <w:t xml:space="preserve"> </w:t>
      </w:r>
      <w:r w:rsidRPr="00682DC0">
        <w:rPr>
          <w:rFonts w:eastAsia="Cambria"/>
          <w:color w:val="000000" w:themeColor="text1"/>
        </w:rPr>
        <w:t>10.1175/1520-0469(1991)048&lt;2614:DTAFUP&gt;2.0.CO;2</w:t>
      </w:r>
      <w:r w:rsidRPr="00682DC0">
        <w:rPr>
          <w:color w:val="000000" w:themeColor="text1"/>
        </w:rPr>
        <w:t>.</w:t>
      </w:r>
    </w:p>
    <w:p w14:paraId="2784EFD4" w14:textId="194AF513" w:rsidR="00417EF7" w:rsidRDefault="00417EF7" w:rsidP="00417EF7">
      <w:pPr>
        <w:spacing w:line="480" w:lineRule="auto"/>
        <w:ind w:left="720" w:hanging="720"/>
        <w:rPr>
          <w:color w:val="000000" w:themeColor="text1"/>
        </w:rPr>
      </w:pPr>
      <w:r>
        <w:rPr>
          <w:color w:val="000000" w:themeColor="text1"/>
        </w:rPr>
        <w:t>Hoskins, B. J.</w:t>
      </w:r>
      <w:r w:rsidRPr="00682DC0">
        <w:rPr>
          <w:color w:val="000000" w:themeColor="text1"/>
        </w:rPr>
        <w:t xml:space="preserve">, I. Draghici, and H. C. Davies, 1978: A new look at the </w:t>
      </w:r>
      <m:oMath>
        <m:r>
          <w:rPr>
            <w:rFonts w:ascii="Cambria Math" w:hAnsi="Cambria Math"/>
            <w:color w:val="000000" w:themeColor="text1"/>
          </w:rPr>
          <m:t>ω</m:t>
        </m:r>
      </m:oMath>
      <w:r>
        <w:rPr>
          <w:color w:val="000000" w:themeColor="text1"/>
        </w:rPr>
        <w:t>-</w:t>
      </w:r>
      <w:r w:rsidRPr="00682DC0">
        <w:rPr>
          <w:color w:val="000000" w:themeColor="text1"/>
        </w:rPr>
        <w:t xml:space="preserve">equation. </w:t>
      </w:r>
      <w:r w:rsidRPr="00682DC0">
        <w:rPr>
          <w:i/>
          <w:color w:val="000000" w:themeColor="text1"/>
        </w:rPr>
        <w:t>Quart. J. Roy. Meteor. Soc</w:t>
      </w:r>
      <w:r w:rsidRPr="00682DC0">
        <w:rPr>
          <w:color w:val="000000" w:themeColor="text1"/>
        </w:rPr>
        <w:t xml:space="preserve">., </w:t>
      </w:r>
      <w:r w:rsidRPr="00682DC0">
        <w:rPr>
          <w:b/>
          <w:color w:val="000000" w:themeColor="text1"/>
        </w:rPr>
        <w:t>104</w:t>
      </w:r>
      <w:r w:rsidRPr="00682DC0">
        <w:rPr>
          <w:color w:val="000000" w:themeColor="text1"/>
        </w:rPr>
        <w:t>, 31–38</w:t>
      </w:r>
      <w:r>
        <w:rPr>
          <w:color w:val="000000" w:themeColor="text1"/>
        </w:rPr>
        <w:t xml:space="preserve">, doi: </w:t>
      </w:r>
      <w:r w:rsidRPr="00682DC0">
        <w:rPr>
          <w:color w:val="000000" w:themeColor="text1"/>
        </w:rPr>
        <w:t>10.1256/qj.02.135</w:t>
      </w:r>
      <w:r>
        <w:rPr>
          <w:color w:val="000000" w:themeColor="text1"/>
        </w:rPr>
        <w:t>.</w:t>
      </w:r>
    </w:p>
    <w:p w14:paraId="6BA89BB0" w14:textId="3608ADC5" w:rsidR="00887518" w:rsidRDefault="00887518" w:rsidP="00417EF7">
      <w:pPr>
        <w:spacing w:line="480" w:lineRule="auto"/>
        <w:ind w:left="720" w:hanging="720"/>
        <w:rPr>
          <w:color w:val="000000" w:themeColor="text1"/>
        </w:rPr>
      </w:pPr>
      <w:r w:rsidRPr="00887518">
        <w:rPr>
          <w:color w:val="000000" w:themeColor="text1"/>
        </w:rPr>
        <w:lastRenderedPageBreak/>
        <w:t>Hoskins</w:t>
      </w:r>
      <w:r>
        <w:rPr>
          <w:color w:val="000000" w:themeColor="text1"/>
        </w:rPr>
        <w:t>,</w:t>
      </w:r>
      <w:r w:rsidRPr="00887518">
        <w:rPr>
          <w:color w:val="000000" w:themeColor="text1"/>
        </w:rPr>
        <w:t xml:space="preserve"> B</w:t>
      </w:r>
      <w:r>
        <w:rPr>
          <w:color w:val="000000" w:themeColor="text1"/>
        </w:rPr>
        <w:t xml:space="preserve">. </w:t>
      </w:r>
      <w:r w:rsidRPr="00887518">
        <w:rPr>
          <w:color w:val="000000" w:themeColor="text1"/>
        </w:rPr>
        <w:t>J</w:t>
      </w:r>
      <w:r>
        <w:rPr>
          <w:color w:val="000000" w:themeColor="text1"/>
        </w:rPr>
        <w:t>.</w:t>
      </w:r>
      <w:r w:rsidRPr="00887518">
        <w:rPr>
          <w:color w:val="000000" w:themeColor="text1"/>
        </w:rPr>
        <w:t xml:space="preserve">, </w:t>
      </w:r>
      <w:r>
        <w:rPr>
          <w:color w:val="000000" w:themeColor="text1"/>
        </w:rPr>
        <w:t xml:space="preserve">M. A. </w:t>
      </w:r>
      <w:r w:rsidRPr="00887518">
        <w:rPr>
          <w:color w:val="000000" w:themeColor="text1"/>
        </w:rPr>
        <w:t>Pedder</w:t>
      </w:r>
      <w:r>
        <w:rPr>
          <w:color w:val="000000" w:themeColor="text1"/>
        </w:rPr>
        <w:t xml:space="preserve">, </w:t>
      </w:r>
      <w:r w:rsidRPr="00887518">
        <w:rPr>
          <w:color w:val="000000" w:themeColor="text1"/>
        </w:rPr>
        <w:t>1980</w:t>
      </w:r>
      <w:r>
        <w:rPr>
          <w:color w:val="000000" w:themeColor="text1"/>
        </w:rPr>
        <w:t>:</w:t>
      </w:r>
      <w:r w:rsidRPr="00887518">
        <w:rPr>
          <w:color w:val="000000" w:themeColor="text1"/>
        </w:rPr>
        <w:t xml:space="preserve"> The diagnosis of mid-latitude synoptic development. </w:t>
      </w:r>
      <w:r w:rsidRPr="00887518">
        <w:rPr>
          <w:i/>
          <w:color w:val="000000" w:themeColor="text1"/>
        </w:rPr>
        <w:t>Q</w:t>
      </w:r>
      <w:r w:rsidR="00964630">
        <w:rPr>
          <w:i/>
          <w:color w:val="000000" w:themeColor="text1"/>
        </w:rPr>
        <w:t>uart. J. Roy.</w:t>
      </w:r>
      <w:r w:rsidRPr="00887518">
        <w:rPr>
          <w:i/>
          <w:color w:val="000000" w:themeColor="text1"/>
        </w:rPr>
        <w:t xml:space="preserve"> Meteo</w:t>
      </w:r>
      <w:r w:rsidR="00964630">
        <w:rPr>
          <w:i/>
          <w:color w:val="000000" w:themeColor="text1"/>
        </w:rPr>
        <w:t>r</w:t>
      </w:r>
      <w:r w:rsidRPr="00887518">
        <w:rPr>
          <w:i/>
          <w:color w:val="000000" w:themeColor="text1"/>
        </w:rPr>
        <w:t>. Soc</w:t>
      </w:r>
      <w:r w:rsidRPr="00887518">
        <w:rPr>
          <w:color w:val="000000" w:themeColor="text1"/>
        </w:rPr>
        <w:t>.</w:t>
      </w:r>
      <w:r>
        <w:rPr>
          <w:color w:val="000000" w:themeColor="text1"/>
        </w:rPr>
        <w:t>,</w:t>
      </w:r>
      <w:r w:rsidRPr="00887518">
        <w:rPr>
          <w:color w:val="000000" w:themeColor="text1"/>
        </w:rPr>
        <w:t xml:space="preserve"> </w:t>
      </w:r>
      <w:r w:rsidRPr="00887518">
        <w:rPr>
          <w:b/>
          <w:color w:val="000000" w:themeColor="text1"/>
        </w:rPr>
        <w:t>106</w:t>
      </w:r>
      <w:r>
        <w:rPr>
          <w:color w:val="000000" w:themeColor="text1"/>
        </w:rPr>
        <w:t>,</w:t>
      </w:r>
      <w:r w:rsidRPr="00887518">
        <w:rPr>
          <w:color w:val="000000" w:themeColor="text1"/>
        </w:rPr>
        <w:t xml:space="preserve"> 707–719</w:t>
      </w:r>
      <w:r>
        <w:rPr>
          <w:color w:val="000000" w:themeColor="text1"/>
        </w:rPr>
        <w:t xml:space="preserve">, doi: </w:t>
      </w:r>
      <w:r w:rsidRPr="00887518">
        <w:rPr>
          <w:color w:val="000000" w:themeColor="text1"/>
        </w:rPr>
        <w:t>10.1002/qj.49710645004</w:t>
      </w:r>
      <w:r>
        <w:rPr>
          <w:color w:val="000000" w:themeColor="text1"/>
        </w:rPr>
        <w:t>.</w:t>
      </w:r>
    </w:p>
    <w:p w14:paraId="3403FE15" w14:textId="33959E0F" w:rsidR="000E1CAB" w:rsidRDefault="00417EF7" w:rsidP="00417EF7">
      <w:pPr>
        <w:spacing w:line="480" w:lineRule="auto"/>
        <w:ind w:left="720" w:hanging="720"/>
        <w:rPr>
          <w:color w:val="000000" w:themeColor="text1"/>
        </w:rPr>
      </w:pPr>
      <w:r w:rsidRPr="00682DC0">
        <w:rPr>
          <w:rFonts w:eastAsia="Cambria"/>
          <w:color w:val="000000" w:themeColor="text1"/>
        </w:rPr>
        <w:t>Hoskins, </w:t>
      </w:r>
      <w:r w:rsidRPr="00682DC0">
        <w:rPr>
          <w:color w:val="000000" w:themeColor="text1"/>
        </w:rPr>
        <w:t>B. J., M. E.</w:t>
      </w:r>
      <w:r w:rsidRPr="00682DC0">
        <w:rPr>
          <w:rFonts w:eastAsia="Cambria"/>
          <w:color w:val="000000" w:themeColor="text1"/>
        </w:rPr>
        <w:t> McIntyre</w:t>
      </w:r>
      <w:r w:rsidRPr="00682DC0">
        <w:rPr>
          <w:color w:val="000000" w:themeColor="text1"/>
        </w:rPr>
        <w:t>, and A. W.</w:t>
      </w:r>
      <w:r w:rsidRPr="00682DC0">
        <w:rPr>
          <w:rFonts w:eastAsia="Cambria"/>
          <w:color w:val="000000" w:themeColor="text1"/>
        </w:rPr>
        <w:t> Robertson</w:t>
      </w:r>
      <w:r w:rsidRPr="00682DC0">
        <w:rPr>
          <w:color w:val="000000" w:themeColor="text1"/>
        </w:rPr>
        <w:t>, 1985: </w:t>
      </w:r>
      <w:r w:rsidRPr="00682DC0">
        <w:rPr>
          <w:rFonts w:eastAsia="Cambria"/>
          <w:color w:val="000000" w:themeColor="text1"/>
        </w:rPr>
        <w:t>On the use and significance of isentropic potential vorticity maps</w:t>
      </w:r>
      <w:r w:rsidRPr="00682DC0">
        <w:rPr>
          <w:color w:val="000000" w:themeColor="text1"/>
        </w:rPr>
        <w:t>. </w:t>
      </w:r>
      <w:r w:rsidRPr="00682DC0">
        <w:rPr>
          <w:i/>
          <w:iCs/>
          <w:color w:val="000000" w:themeColor="text1"/>
        </w:rPr>
        <w:t>Quart. J. Roy. Meteor. Soc.</w:t>
      </w:r>
      <w:r w:rsidRPr="00682DC0">
        <w:rPr>
          <w:color w:val="000000" w:themeColor="text1"/>
        </w:rPr>
        <w:t>, </w:t>
      </w:r>
      <w:r w:rsidRPr="00682DC0">
        <w:rPr>
          <w:b/>
          <w:bCs/>
          <w:color w:val="000000" w:themeColor="text1"/>
        </w:rPr>
        <w:t>111</w:t>
      </w:r>
      <w:r w:rsidRPr="00682DC0">
        <w:rPr>
          <w:color w:val="000000" w:themeColor="text1"/>
        </w:rPr>
        <w:t>, 877–946, doi:</w:t>
      </w:r>
      <w:r>
        <w:rPr>
          <w:color w:val="000000" w:themeColor="text1"/>
        </w:rPr>
        <w:t xml:space="preserve"> </w:t>
      </w:r>
      <w:r w:rsidRPr="00682DC0">
        <w:rPr>
          <w:rFonts w:eastAsia="Cambria"/>
          <w:color w:val="000000" w:themeColor="text1"/>
        </w:rPr>
        <w:t>10.1002/qj.49711147002</w:t>
      </w:r>
      <w:r w:rsidRPr="00682DC0">
        <w:rPr>
          <w:color w:val="000000" w:themeColor="text1"/>
        </w:rPr>
        <w:t>.</w:t>
      </w:r>
    </w:p>
    <w:p w14:paraId="12B5DDC2" w14:textId="77777777" w:rsidR="00417EF7" w:rsidRDefault="00417EF7" w:rsidP="00417EF7">
      <w:pPr>
        <w:spacing w:line="480" w:lineRule="auto"/>
        <w:ind w:left="720" w:hanging="720"/>
        <w:rPr>
          <w:color w:val="000000" w:themeColor="text1"/>
        </w:rPr>
      </w:pPr>
      <w:r w:rsidRPr="003B3EBB">
        <w:rPr>
          <w:color w:val="000000" w:themeColor="text1"/>
        </w:rPr>
        <w:t xml:space="preserve">Iskenderian, H., 1995: A 10-year climatology of Northern Hemisphere tropical cloud plumes and their composite flow patterns. </w:t>
      </w:r>
      <w:r w:rsidRPr="003B3EBB">
        <w:rPr>
          <w:i/>
          <w:color w:val="000000" w:themeColor="text1"/>
        </w:rPr>
        <w:t>J. Climate</w:t>
      </w:r>
      <w:r w:rsidRPr="003B3EBB">
        <w:rPr>
          <w:color w:val="000000" w:themeColor="text1"/>
        </w:rPr>
        <w:t xml:space="preserve">, </w:t>
      </w:r>
      <w:r w:rsidRPr="003B3EBB">
        <w:rPr>
          <w:b/>
          <w:color w:val="000000" w:themeColor="text1"/>
        </w:rPr>
        <w:t>8</w:t>
      </w:r>
      <w:r w:rsidRPr="003B3EBB">
        <w:rPr>
          <w:color w:val="000000" w:themeColor="text1"/>
        </w:rPr>
        <w:t>, 1630–1637, doi: 10.1175/1520-0442(1995)008&lt;1630:AYCONH&gt;2.0.CO;2.</w:t>
      </w:r>
    </w:p>
    <w:p w14:paraId="6609074F" w14:textId="2DF16ADE" w:rsidR="00417EF7" w:rsidRDefault="00417EF7" w:rsidP="00417EF7">
      <w:pPr>
        <w:spacing w:line="480" w:lineRule="auto"/>
        <w:ind w:left="720" w:hanging="720"/>
        <w:rPr>
          <w:color w:val="000000" w:themeColor="text1"/>
        </w:rPr>
      </w:pPr>
      <w:r w:rsidRPr="003B3EBB">
        <w:rPr>
          <w:rStyle w:val="nlmstring-name"/>
          <w:color w:val="000000" w:themeColor="text1"/>
        </w:rPr>
        <w:t>Keyser, </w:t>
      </w:r>
      <w:r w:rsidRPr="003B3EBB">
        <w:rPr>
          <w:rStyle w:val="nlmgiven-names"/>
          <w:rFonts w:eastAsia="Cambria"/>
          <w:color w:val="000000" w:themeColor="text1"/>
        </w:rPr>
        <w:t>D.</w:t>
      </w:r>
      <w:r w:rsidRPr="003B3EBB">
        <w:rPr>
          <w:color w:val="000000" w:themeColor="text1"/>
        </w:rPr>
        <w:t>, and </w:t>
      </w:r>
      <w:r w:rsidRPr="003B3EBB">
        <w:rPr>
          <w:rStyle w:val="nlmgiven-names"/>
          <w:rFonts w:eastAsia="Cambria"/>
          <w:color w:val="000000" w:themeColor="text1"/>
        </w:rPr>
        <w:t>M. A.</w:t>
      </w:r>
      <w:r w:rsidRPr="003B3EBB">
        <w:rPr>
          <w:rStyle w:val="nlmstring-name"/>
          <w:color w:val="000000" w:themeColor="text1"/>
        </w:rPr>
        <w:t> Shapiro</w:t>
      </w:r>
      <w:r w:rsidRPr="003B3EBB">
        <w:rPr>
          <w:color w:val="000000" w:themeColor="text1"/>
        </w:rPr>
        <w:t>, </w:t>
      </w:r>
      <w:r w:rsidRPr="003B3EBB">
        <w:rPr>
          <w:rStyle w:val="nlmyear"/>
          <w:color w:val="000000" w:themeColor="text1"/>
        </w:rPr>
        <w:t>1986</w:t>
      </w:r>
      <w:r w:rsidRPr="003B3EBB">
        <w:rPr>
          <w:color w:val="000000" w:themeColor="text1"/>
        </w:rPr>
        <w:t>: </w:t>
      </w:r>
      <w:r w:rsidRPr="003B3EBB">
        <w:rPr>
          <w:rStyle w:val="nlmarticle-title"/>
          <w:color w:val="000000" w:themeColor="text1"/>
        </w:rPr>
        <w:t>A review of the structure and dynamics of upper-level frontal zones</w:t>
      </w:r>
      <w:r w:rsidRPr="003B3EBB">
        <w:rPr>
          <w:color w:val="000000" w:themeColor="text1"/>
        </w:rPr>
        <w:t>. </w:t>
      </w:r>
      <w:r w:rsidRPr="003B3EBB">
        <w:rPr>
          <w:i/>
          <w:iCs/>
          <w:color w:val="000000" w:themeColor="text1"/>
        </w:rPr>
        <w:t>Mon. Wea. Rev.</w:t>
      </w:r>
      <w:r w:rsidRPr="003B3EBB">
        <w:rPr>
          <w:color w:val="000000" w:themeColor="text1"/>
        </w:rPr>
        <w:t>, </w:t>
      </w:r>
      <w:r w:rsidRPr="003B3EBB">
        <w:rPr>
          <w:b/>
          <w:bCs/>
          <w:color w:val="000000" w:themeColor="text1"/>
        </w:rPr>
        <w:t>114</w:t>
      </w:r>
      <w:r w:rsidRPr="003B3EBB">
        <w:rPr>
          <w:color w:val="000000" w:themeColor="text1"/>
        </w:rPr>
        <w:t>, </w:t>
      </w:r>
      <w:r w:rsidRPr="003B3EBB">
        <w:rPr>
          <w:rStyle w:val="nlmfpage"/>
          <w:color w:val="000000" w:themeColor="text1"/>
        </w:rPr>
        <w:t>452</w:t>
      </w:r>
      <w:r w:rsidRPr="003B3EBB">
        <w:rPr>
          <w:color w:val="000000" w:themeColor="text1"/>
        </w:rPr>
        <w:t>–</w:t>
      </w:r>
      <w:r w:rsidRPr="003B3EBB">
        <w:rPr>
          <w:rStyle w:val="nlmlpage"/>
          <w:rFonts w:eastAsia="Cambria"/>
          <w:color w:val="000000" w:themeColor="text1"/>
        </w:rPr>
        <w:t>499</w:t>
      </w:r>
      <w:r w:rsidRPr="003B3EBB">
        <w:rPr>
          <w:color w:val="000000" w:themeColor="text1"/>
        </w:rPr>
        <w:t>, doi: 10.1175/1520-0493(1986)114&lt;0452:AROTSA&gt;2.0.CO;2. </w:t>
      </w:r>
    </w:p>
    <w:p w14:paraId="219D994C" w14:textId="7753CFCF" w:rsidR="000E1CAB" w:rsidRPr="000E1CAB" w:rsidRDefault="000E1CAB" w:rsidP="00417EF7">
      <w:pPr>
        <w:spacing w:line="480" w:lineRule="auto"/>
        <w:ind w:left="720" w:hanging="720"/>
        <w:rPr>
          <w:color w:val="000000" w:themeColor="text1"/>
        </w:rPr>
      </w:pPr>
      <w:r>
        <w:rPr>
          <w:color w:val="000000" w:themeColor="text1"/>
        </w:rPr>
        <w:t xml:space="preserve">Keyser, D., M. J. Reeder, and R. J. Reed, 1988: A generalization of Petterssen’s frontogenesis function and its relation to the forcing of vertical motion. </w:t>
      </w:r>
      <w:r>
        <w:rPr>
          <w:i/>
          <w:color w:val="000000" w:themeColor="text1"/>
        </w:rPr>
        <w:t>Mon. Wea. Rev.</w:t>
      </w:r>
      <w:r>
        <w:rPr>
          <w:color w:val="000000" w:themeColor="text1"/>
        </w:rPr>
        <w:t xml:space="preserve">, </w:t>
      </w:r>
      <w:r>
        <w:rPr>
          <w:b/>
          <w:color w:val="000000" w:themeColor="text1"/>
        </w:rPr>
        <w:t>116</w:t>
      </w:r>
      <w:r>
        <w:rPr>
          <w:color w:val="000000" w:themeColor="text1"/>
        </w:rPr>
        <w:t xml:space="preserve">, 762–780, doi: </w:t>
      </w:r>
      <w:r w:rsidRPr="000E1CAB">
        <w:rPr>
          <w:color w:val="000000" w:themeColor="text1"/>
        </w:rPr>
        <w:t>10.1175/1520-0493%281988%29116&lt;0762%3AAGOPFF&gt;2.0.CO%3B2</w:t>
      </w:r>
      <w:r>
        <w:rPr>
          <w:color w:val="000000" w:themeColor="text1"/>
        </w:rPr>
        <w:t>.</w:t>
      </w:r>
    </w:p>
    <w:p w14:paraId="036A4582" w14:textId="77777777" w:rsidR="00417EF7" w:rsidRDefault="00417EF7" w:rsidP="00417EF7">
      <w:pPr>
        <w:spacing w:line="480" w:lineRule="auto"/>
        <w:ind w:left="720" w:hanging="720"/>
        <w:rPr>
          <w:color w:val="000000" w:themeColor="text1"/>
        </w:rPr>
      </w:pPr>
      <w:r w:rsidRPr="003B3EBB">
        <w:rPr>
          <w:color w:val="000000" w:themeColor="text1"/>
        </w:rPr>
        <w:t xml:space="preserve">Keyser, D., B. D. Schmidt, and D. G. Duffy, 1992: Quasigeostrophic vertical motions diagnosed from along- and cross-isentrope components of the Q vector. </w:t>
      </w:r>
      <w:r w:rsidRPr="003B3EBB">
        <w:rPr>
          <w:i/>
          <w:color w:val="000000" w:themeColor="text1"/>
        </w:rPr>
        <w:t>Mon. Wea. Rev.</w:t>
      </w:r>
      <w:r w:rsidRPr="003B3EBB">
        <w:rPr>
          <w:color w:val="000000" w:themeColor="text1"/>
        </w:rPr>
        <w:t xml:space="preserve">, </w:t>
      </w:r>
      <w:r w:rsidRPr="003B3EBB">
        <w:rPr>
          <w:b/>
          <w:color w:val="000000" w:themeColor="text1"/>
        </w:rPr>
        <w:t>120</w:t>
      </w:r>
      <w:r w:rsidRPr="003B3EBB">
        <w:rPr>
          <w:color w:val="000000" w:themeColor="text1"/>
        </w:rPr>
        <w:t>, 731–741, doi: 10.1175/1520-0493%281992%29120&lt;0731%3AQVMDFA&gt;2.0.CO%3B2.</w:t>
      </w:r>
    </w:p>
    <w:p w14:paraId="1EF93D9B" w14:textId="77777777" w:rsidR="00417EF7" w:rsidRPr="003B3EBB" w:rsidRDefault="00417EF7" w:rsidP="00417EF7">
      <w:pPr>
        <w:spacing w:line="480" w:lineRule="auto"/>
        <w:ind w:left="720" w:hanging="720"/>
        <w:rPr>
          <w:color w:val="000000" w:themeColor="text1"/>
        </w:rPr>
      </w:pPr>
      <w:r w:rsidRPr="003B3EBB">
        <w:rPr>
          <w:color w:val="000000" w:themeColor="text1"/>
        </w:rPr>
        <w:t>Koteswaram, P., 1953: An analysis of the high tropospheric wind circulation over India in winter. </w:t>
      </w:r>
      <w:r w:rsidRPr="003B3EBB">
        <w:rPr>
          <w:i/>
          <w:iCs/>
          <w:color w:val="000000" w:themeColor="text1"/>
        </w:rPr>
        <w:t>Indian J. Meteor. Geophys.</w:t>
      </w:r>
      <w:r w:rsidRPr="003B3EBB">
        <w:rPr>
          <w:color w:val="000000" w:themeColor="text1"/>
        </w:rPr>
        <w:t>, </w:t>
      </w:r>
      <w:r w:rsidRPr="003B3EBB">
        <w:rPr>
          <w:b/>
          <w:bCs/>
          <w:color w:val="000000" w:themeColor="text1"/>
        </w:rPr>
        <w:t>4</w:t>
      </w:r>
      <w:r w:rsidRPr="003B3EBB">
        <w:rPr>
          <w:color w:val="000000" w:themeColor="text1"/>
        </w:rPr>
        <w:t>, 13–21.</w:t>
      </w:r>
    </w:p>
    <w:p w14:paraId="5ABD31AF" w14:textId="77777777" w:rsidR="00417EF7" w:rsidRDefault="00417EF7" w:rsidP="00417EF7">
      <w:pPr>
        <w:spacing w:line="480" w:lineRule="auto"/>
        <w:ind w:left="720" w:hanging="720"/>
        <w:rPr>
          <w:color w:val="000000" w:themeColor="text1"/>
        </w:rPr>
      </w:pPr>
      <w:r w:rsidRPr="003B3EBB">
        <w:rPr>
          <w:color w:val="000000" w:themeColor="text1"/>
        </w:rPr>
        <w:t>Koteswaram, P., and S. Parthasarathy, 1954: The mean jet stream over Indian in the pre-monsoon and post-monsoon seasons and vertical motions associated with subtropical jet streams. </w:t>
      </w:r>
      <w:r w:rsidRPr="003B3EBB">
        <w:rPr>
          <w:i/>
          <w:iCs/>
          <w:color w:val="000000" w:themeColor="text1"/>
        </w:rPr>
        <w:t>Indian J. Meteor. Geophys.</w:t>
      </w:r>
      <w:r w:rsidRPr="003B3EBB">
        <w:rPr>
          <w:color w:val="000000" w:themeColor="text1"/>
        </w:rPr>
        <w:t>, </w:t>
      </w:r>
      <w:r w:rsidRPr="003B3EBB">
        <w:rPr>
          <w:b/>
          <w:bCs/>
          <w:color w:val="000000" w:themeColor="text1"/>
        </w:rPr>
        <w:t>5</w:t>
      </w:r>
      <w:r w:rsidRPr="003B3EBB">
        <w:rPr>
          <w:color w:val="000000" w:themeColor="text1"/>
        </w:rPr>
        <w:t>, 138–156.</w:t>
      </w:r>
    </w:p>
    <w:p w14:paraId="2727E044" w14:textId="77777777" w:rsidR="00417EF7" w:rsidRDefault="00417EF7" w:rsidP="00417EF7">
      <w:pPr>
        <w:spacing w:line="480" w:lineRule="auto"/>
        <w:ind w:left="720" w:hanging="720"/>
        <w:rPr>
          <w:color w:val="000000" w:themeColor="text1"/>
        </w:rPr>
      </w:pPr>
      <w:r w:rsidRPr="003B3EBB">
        <w:rPr>
          <w:color w:val="000000" w:themeColor="text1"/>
        </w:rPr>
        <w:lastRenderedPageBreak/>
        <w:t xml:space="preserve">Krishnamurti, T. N., 1961: The subtropical jet stream of winter. </w:t>
      </w:r>
      <w:r w:rsidRPr="003B3EBB">
        <w:rPr>
          <w:i/>
          <w:iCs/>
          <w:color w:val="000000" w:themeColor="text1"/>
        </w:rPr>
        <w:t>J. Meteor.</w:t>
      </w:r>
      <w:r w:rsidRPr="003B3EBB">
        <w:rPr>
          <w:color w:val="000000" w:themeColor="text1"/>
        </w:rPr>
        <w:t xml:space="preserve">, </w:t>
      </w:r>
      <w:r w:rsidRPr="003B3EBB">
        <w:rPr>
          <w:b/>
          <w:bCs/>
          <w:color w:val="000000" w:themeColor="text1"/>
        </w:rPr>
        <w:t>18</w:t>
      </w:r>
      <w:r w:rsidRPr="003B3EBB">
        <w:rPr>
          <w:color w:val="000000" w:themeColor="text1"/>
        </w:rPr>
        <w:t>, 172–191, doi: 10.1175/1520-0469(1961)018&lt;0172:TSJSOW&gt;2.0.CO;2.</w:t>
      </w:r>
    </w:p>
    <w:p w14:paraId="3FD35470" w14:textId="77777777" w:rsidR="00417EF7" w:rsidRDefault="00417EF7" w:rsidP="00417EF7">
      <w:pPr>
        <w:spacing w:line="480" w:lineRule="auto"/>
        <w:ind w:left="720" w:hanging="720"/>
        <w:rPr>
          <w:color w:val="000000" w:themeColor="text1"/>
        </w:rPr>
      </w:pPr>
      <w:r w:rsidRPr="00A56C44">
        <w:rPr>
          <w:color w:val="000000" w:themeColor="text1"/>
        </w:rPr>
        <w:t xml:space="preserve">Lang, A. A., and J. E. Martin, 2010: The influence of rotational frontogenesis and its associated shearwise vertical motion on the development of an upper-level front. </w:t>
      </w:r>
      <w:r w:rsidRPr="00A56C44">
        <w:rPr>
          <w:i/>
          <w:color w:val="000000" w:themeColor="text1"/>
        </w:rPr>
        <w:t>Quart. J. Roy. Meteor. Soc.</w:t>
      </w:r>
      <w:r w:rsidRPr="00A56C44">
        <w:rPr>
          <w:color w:val="000000" w:themeColor="text1"/>
        </w:rPr>
        <w:t xml:space="preserve">, </w:t>
      </w:r>
      <w:r w:rsidRPr="00B93AB2">
        <w:rPr>
          <w:b/>
          <w:color w:val="000000" w:themeColor="text1"/>
        </w:rPr>
        <w:t>136</w:t>
      </w:r>
      <w:r w:rsidRPr="00A56C44">
        <w:rPr>
          <w:color w:val="000000" w:themeColor="text1"/>
        </w:rPr>
        <w:t xml:space="preserve">, 239–252, </w:t>
      </w:r>
      <w:r>
        <w:rPr>
          <w:color w:val="000000" w:themeColor="text1"/>
        </w:rPr>
        <w:t xml:space="preserve">doi: </w:t>
      </w:r>
      <w:r w:rsidRPr="00A56C44">
        <w:rPr>
          <w:color w:val="000000" w:themeColor="text1"/>
        </w:rPr>
        <w:t>10.1002/qj.551.</w:t>
      </w:r>
    </w:p>
    <w:p w14:paraId="295B2E52" w14:textId="77777777" w:rsidR="00417EF7" w:rsidRDefault="00417EF7" w:rsidP="00417EF7">
      <w:pPr>
        <w:spacing w:line="480" w:lineRule="auto"/>
        <w:ind w:left="720" w:hanging="720"/>
        <w:rPr>
          <w:color w:val="000000" w:themeColor="text1"/>
        </w:rPr>
      </w:pPr>
      <w:r w:rsidRPr="003B3EBB">
        <w:rPr>
          <w:color w:val="000000" w:themeColor="text1"/>
        </w:rPr>
        <w:t>Lang, A. A., and J. E. Martin, 2012: The structure and evolution of lower stratospheric frontal zones. Part I: Examples in northwesterly and southwesterly flow. </w:t>
      </w:r>
      <w:r w:rsidRPr="003B3EBB">
        <w:rPr>
          <w:i/>
          <w:iCs/>
          <w:color w:val="000000" w:themeColor="text1"/>
        </w:rPr>
        <w:t>Quart. J. Roy. Meteor. Soc.</w:t>
      </w:r>
      <w:r w:rsidRPr="003B3EBB">
        <w:rPr>
          <w:color w:val="000000" w:themeColor="text1"/>
        </w:rPr>
        <w:t>, </w:t>
      </w:r>
      <w:r w:rsidRPr="003B3EBB">
        <w:rPr>
          <w:b/>
          <w:bCs/>
          <w:color w:val="000000" w:themeColor="text1"/>
        </w:rPr>
        <w:t>138</w:t>
      </w:r>
      <w:r w:rsidRPr="003B3EBB">
        <w:rPr>
          <w:color w:val="000000" w:themeColor="text1"/>
        </w:rPr>
        <w:t>, 1350–1365, doi: 10.1002/qj.843.</w:t>
      </w:r>
    </w:p>
    <w:p w14:paraId="482B7C80" w14:textId="79B459DD" w:rsidR="00417EF7" w:rsidRDefault="00417EF7" w:rsidP="00417EF7">
      <w:pPr>
        <w:spacing w:line="480" w:lineRule="auto"/>
        <w:ind w:left="720" w:hanging="720"/>
        <w:rPr>
          <w:color w:val="000000" w:themeColor="text1"/>
        </w:rPr>
      </w:pPr>
      <w:r w:rsidRPr="003B3EBB">
        <w:rPr>
          <w:color w:val="000000" w:themeColor="text1"/>
        </w:rPr>
        <w:t xml:space="preserve">Lang, A. A., and J. E. Martin, 2013: The structure and evolution of lower stratospheric frontal zones: Part II: The influence of tropospheric ascent on lower stratospheric frontal development. </w:t>
      </w:r>
      <w:r w:rsidRPr="003B3EBB">
        <w:rPr>
          <w:i/>
          <w:color w:val="000000" w:themeColor="text1"/>
        </w:rPr>
        <w:t>Quart. J. Roy. Meteor. Soc.</w:t>
      </w:r>
      <w:r w:rsidRPr="003B3EBB">
        <w:rPr>
          <w:color w:val="000000" w:themeColor="text1"/>
        </w:rPr>
        <w:t xml:space="preserve">, </w:t>
      </w:r>
      <w:r w:rsidRPr="003B3EBB">
        <w:rPr>
          <w:b/>
          <w:color w:val="000000" w:themeColor="text1"/>
        </w:rPr>
        <w:t>139</w:t>
      </w:r>
      <w:r w:rsidRPr="003B3EBB">
        <w:rPr>
          <w:color w:val="000000" w:themeColor="text1"/>
        </w:rPr>
        <w:t>, 1798–1809, doi: 10.1002/qj.2074.</w:t>
      </w:r>
    </w:p>
    <w:p w14:paraId="67D7E9C2" w14:textId="458E79F6" w:rsidR="000B5459" w:rsidRDefault="000B5459" w:rsidP="00417EF7">
      <w:pPr>
        <w:spacing w:line="480" w:lineRule="auto"/>
        <w:ind w:left="720" w:hanging="720"/>
        <w:rPr>
          <w:color w:val="000000" w:themeColor="text1"/>
        </w:rPr>
      </w:pPr>
      <w:r w:rsidRPr="003B3EBB">
        <w:rPr>
          <w:color w:val="000000" w:themeColor="text1"/>
        </w:rPr>
        <w:t xml:space="preserve">Lee, S., and H.-K. Kim, 2003: The dynamical relationship between subtropical and eddy-driven jets. </w:t>
      </w:r>
      <w:r w:rsidRPr="003B3EBB">
        <w:rPr>
          <w:i/>
          <w:iCs/>
          <w:color w:val="000000" w:themeColor="text1"/>
        </w:rPr>
        <w:t>J. Atmos. Sci.</w:t>
      </w:r>
      <w:r w:rsidRPr="003B3EBB">
        <w:rPr>
          <w:color w:val="000000" w:themeColor="text1"/>
        </w:rPr>
        <w:t xml:space="preserve">, </w:t>
      </w:r>
      <w:r w:rsidRPr="003B3EBB">
        <w:rPr>
          <w:b/>
          <w:bCs/>
          <w:color w:val="000000" w:themeColor="text1"/>
        </w:rPr>
        <w:t>60</w:t>
      </w:r>
      <w:r w:rsidRPr="003B3EBB">
        <w:rPr>
          <w:color w:val="000000" w:themeColor="text1"/>
        </w:rPr>
        <w:t>, 1490–1503, doi: 10.1175/1520-0469%282003%29060&lt;1490%3ATDRBSA&gt;2.0.CO%3B2.</w:t>
      </w:r>
    </w:p>
    <w:p w14:paraId="47540953" w14:textId="77777777" w:rsidR="00417EF7" w:rsidRDefault="00417EF7" w:rsidP="00417EF7">
      <w:pPr>
        <w:spacing w:line="480" w:lineRule="auto"/>
        <w:ind w:left="720" w:hanging="720"/>
        <w:rPr>
          <w:color w:val="000000" w:themeColor="text1"/>
        </w:rPr>
      </w:pPr>
      <w:r w:rsidRPr="003B3EBB">
        <w:rPr>
          <w:color w:val="000000" w:themeColor="text1"/>
        </w:rPr>
        <w:t>Loewe, F., and V. Radok, 1950: A meridional aerological cross section in the southwest Pacific. </w:t>
      </w:r>
      <w:r w:rsidRPr="003B3EBB">
        <w:rPr>
          <w:i/>
          <w:iCs/>
          <w:color w:val="000000" w:themeColor="text1"/>
        </w:rPr>
        <w:t>J. Meteor.</w:t>
      </w:r>
      <w:r w:rsidRPr="003B3EBB">
        <w:rPr>
          <w:color w:val="000000" w:themeColor="text1"/>
        </w:rPr>
        <w:t>, </w:t>
      </w:r>
      <w:r w:rsidRPr="003B3EBB">
        <w:rPr>
          <w:b/>
          <w:bCs/>
          <w:color w:val="000000" w:themeColor="text1"/>
        </w:rPr>
        <w:t>7</w:t>
      </w:r>
      <w:r w:rsidRPr="003B3EBB">
        <w:rPr>
          <w:color w:val="000000" w:themeColor="text1"/>
        </w:rPr>
        <w:t>, 58–65, doi: 10.1175/1520-0469(1950)007&lt;0058:AMACSI&gt;2.0.CO;2. </w:t>
      </w:r>
    </w:p>
    <w:p w14:paraId="7DF69249" w14:textId="77777777" w:rsidR="00417EF7" w:rsidRPr="00682DC0" w:rsidRDefault="00417EF7" w:rsidP="00417EF7">
      <w:pPr>
        <w:spacing w:line="480" w:lineRule="auto"/>
        <w:ind w:left="720" w:hanging="720"/>
        <w:rPr>
          <w:color w:val="000000" w:themeColor="text1"/>
        </w:rPr>
      </w:pPr>
      <w:r>
        <w:rPr>
          <w:color w:val="000000" w:themeColor="text1"/>
        </w:rPr>
        <w:t xml:space="preserve">Martin, J. E., 1999: Quasigeostrophic forcing of ascent in the occluded sector of cyclones and the trowal airstream. </w:t>
      </w:r>
      <w:r>
        <w:rPr>
          <w:i/>
          <w:color w:val="000000" w:themeColor="text1"/>
        </w:rPr>
        <w:t>Mon. Wea. Rev.</w:t>
      </w:r>
      <w:r>
        <w:rPr>
          <w:color w:val="000000" w:themeColor="text1"/>
        </w:rPr>
        <w:t xml:space="preserve">, </w:t>
      </w:r>
      <w:r w:rsidRPr="00682DC0">
        <w:rPr>
          <w:b/>
          <w:color w:val="000000" w:themeColor="text1"/>
        </w:rPr>
        <w:t>127</w:t>
      </w:r>
      <w:r>
        <w:rPr>
          <w:color w:val="000000" w:themeColor="text1"/>
        </w:rPr>
        <w:t xml:space="preserve">, 70–88, doi: </w:t>
      </w:r>
      <w:r w:rsidRPr="00682DC0">
        <w:rPr>
          <w:color w:val="000000" w:themeColor="text1"/>
        </w:rPr>
        <w:t>10.1175/1520-0493%281999%29127&lt;0070%3AQFOAIT&gt;2.0.CO%3B2</w:t>
      </w:r>
      <w:r>
        <w:rPr>
          <w:color w:val="000000" w:themeColor="text1"/>
        </w:rPr>
        <w:t>.</w:t>
      </w:r>
    </w:p>
    <w:p w14:paraId="7756F240" w14:textId="77777777" w:rsidR="00417EF7" w:rsidRDefault="00417EF7" w:rsidP="00417EF7">
      <w:pPr>
        <w:spacing w:line="480" w:lineRule="auto"/>
        <w:ind w:left="720" w:hanging="720"/>
        <w:rPr>
          <w:color w:val="000000" w:themeColor="text1"/>
        </w:rPr>
      </w:pPr>
      <w:r w:rsidRPr="003B3EBB">
        <w:rPr>
          <w:color w:val="000000" w:themeColor="text1"/>
        </w:rPr>
        <w:t>Martin J. E., 2006</w:t>
      </w:r>
      <w:r>
        <w:rPr>
          <w:color w:val="000000" w:themeColor="text1"/>
        </w:rPr>
        <w:t>:</w:t>
      </w:r>
      <w:r w:rsidRPr="003B3EBB">
        <w:rPr>
          <w:color w:val="000000" w:themeColor="text1"/>
        </w:rPr>
        <w:t xml:space="preserve"> The role of shearwise and transverse quasigeostrophic vertical motions in the midlatitude cyclone life cycle. </w:t>
      </w:r>
      <w:r w:rsidRPr="003B3EBB">
        <w:rPr>
          <w:i/>
          <w:color w:val="000000" w:themeColor="text1"/>
        </w:rPr>
        <w:t>Mon. Wea. Rev</w:t>
      </w:r>
      <w:r w:rsidRPr="003B3EBB">
        <w:rPr>
          <w:color w:val="000000" w:themeColor="text1"/>
        </w:rPr>
        <w:t xml:space="preserve">., </w:t>
      </w:r>
      <w:r w:rsidRPr="003B3EBB">
        <w:rPr>
          <w:b/>
          <w:color w:val="000000" w:themeColor="text1"/>
        </w:rPr>
        <w:t>134</w:t>
      </w:r>
      <w:r w:rsidRPr="003B3EBB">
        <w:rPr>
          <w:color w:val="000000" w:themeColor="text1"/>
        </w:rPr>
        <w:t>, 1174–1193, doi: 10.1175/MWR3114.1.</w:t>
      </w:r>
    </w:p>
    <w:p w14:paraId="5D988BA4" w14:textId="77777777" w:rsidR="00417EF7" w:rsidRDefault="00417EF7" w:rsidP="00417EF7">
      <w:pPr>
        <w:spacing w:line="480" w:lineRule="auto"/>
        <w:ind w:left="720" w:hanging="720"/>
        <w:rPr>
          <w:color w:val="000000" w:themeColor="text1"/>
        </w:rPr>
      </w:pPr>
      <w:r w:rsidRPr="003B3EBB">
        <w:rPr>
          <w:color w:val="000000" w:themeColor="text1"/>
        </w:rPr>
        <w:lastRenderedPageBreak/>
        <w:t xml:space="preserve">Martin, J. E., 2014: Quasi-geostrophic diagnosis of the influence of vorticity advection on the development of upper level jet-front systems. </w:t>
      </w:r>
      <w:r w:rsidRPr="003B3EBB">
        <w:rPr>
          <w:i/>
          <w:color w:val="000000" w:themeColor="text1"/>
        </w:rPr>
        <w:t>Quart. J. Roy. Meteor. Soc.</w:t>
      </w:r>
      <w:r w:rsidRPr="003B3EBB">
        <w:rPr>
          <w:color w:val="000000" w:themeColor="text1"/>
        </w:rPr>
        <w:t xml:space="preserve">, </w:t>
      </w:r>
      <w:r w:rsidRPr="003B3EBB">
        <w:rPr>
          <w:b/>
          <w:color w:val="000000" w:themeColor="text1"/>
        </w:rPr>
        <w:t>140</w:t>
      </w:r>
      <w:r w:rsidRPr="003B3EBB">
        <w:rPr>
          <w:color w:val="000000" w:themeColor="text1"/>
        </w:rPr>
        <w:t>, 2658–2671, doi: 10.1002/qj.2333.</w:t>
      </w:r>
    </w:p>
    <w:p w14:paraId="5A699AA6" w14:textId="5277058A" w:rsidR="00FE5ECC" w:rsidRPr="00FE5ECC" w:rsidRDefault="00FE5ECC" w:rsidP="00417EF7">
      <w:pPr>
        <w:spacing w:line="480" w:lineRule="auto"/>
        <w:ind w:left="720" w:hanging="720"/>
        <w:rPr>
          <w:rFonts w:eastAsia="Cambria"/>
          <w:color w:val="000000" w:themeColor="text1"/>
        </w:rPr>
      </w:pPr>
      <w:r w:rsidRPr="00C57041">
        <w:rPr>
          <w:rFonts w:eastAsia="Cambria"/>
          <w:color w:val="000000" w:themeColor="text1"/>
        </w:rPr>
        <w:t xml:space="preserve">Mohri, K., 1953: On the fields of wind and temperature over Japan and adjacent waters during winter of 1950–1951. </w:t>
      </w:r>
      <w:r w:rsidRPr="00C57041">
        <w:rPr>
          <w:rFonts w:eastAsia="Cambria"/>
          <w:i/>
          <w:color w:val="000000" w:themeColor="text1"/>
        </w:rPr>
        <w:t>Tellus</w:t>
      </w:r>
      <w:r w:rsidRPr="00C57041">
        <w:rPr>
          <w:rFonts w:eastAsia="Cambria"/>
          <w:color w:val="000000" w:themeColor="text1"/>
        </w:rPr>
        <w:t xml:space="preserve">, </w:t>
      </w:r>
      <w:r w:rsidRPr="00C57041">
        <w:rPr>
          <w:rFonts w:eastAsia="Cambria"/>
          <w:b/>
          <w:color w:val="000000" w:themeColor="text1"/>
        </w:rPr>
        <w:t>5</w:t>
      </w:r>
      <w:r w:rsidRPr="00C57041">
        <w:rPr>
          <w:rFonts w:eastAsia="Cambria"/>
          <w:color w:val="000000" w:themeColor="text1"/>
        </w:rPr>
        <w:t>, 340–358, https://doi.org/10.3402/tellusa.v5i3.8582.</w:t>
      </w:r>
    </w:p>
    <w:p w14:paraId="20B76856" w14:textId="77777777" w:rsidR="00417EF7" w:rsidRDefault="00417EF7" w:rsidP="00417EF7">
      <w:pPr>
        <w:spacing w:line="480" w:lineRule="auto"/>
        <w:ind w:left="720" w:hanging="720"/>
        <w:rPr>
          <w:color w:val="000000" w:themeColor="text1"/>
        </w:rPr>
      </w:pPr>
      <w:r w:rsidRPr="00E716BB">
        <w:rPr>
          <w:rFonts w:eastAsia="Cambria"/>
          <w:color w:val="000000" w:themeColor="text1"/>
        </w:rPr>
        <w:t>Morgan, </w:t>
      </w:r>
      <w:r w:rsidRPr="00E716BB">
        <w:rPr>
          <w:color w:val="000000" w:themeColor="text1"/>
        </w:rPr>
        <w:t>M. C., and J. W.</w:t>
      </w:r>
      <w:r w:rsidRPr="00E716BB">
        <w:rPr>
          <w:rFonts w:eastAsia="Cambria"/>
          <w:color w:val="000000" w:themeColor="text1"/>
        </w:rPr>
        <w:t> Nielsen-Gammon</w:t>
      </w:r>
      <w:r w:rsidRPr="00E716BB">
        <w:rPr>
          <w:color w:val="000000" w:themeColor="text1"/>
        </w:rPr>
        <w:t>, 1998: </w:t>
      </w:r>
      <w:r w:rsidRPr="00E716BB">
        <w:rPr>
          <w:rFonts w:eastAsia="Cambria"/>
          <w:color w:val="000000" w:themeColor="text1"/>
        </w:rPr>
        <w:t>Using tropopause maps to diagnose midlatitude weather systems</w:t>
      </w:r>
      <w:r w:rsidRPr="00E716BB">
        <w:rPr>
          <w:color w:val="000000" w:themeColor="text1"/>
        </w:rPr>
        <w:t>. </w:t>
      </w:r>
      <w:r w:rsidRPr="00E716BB">
        <w:rPr>
          <w:i/>
          <w:iCs/>
          <w:color w:val="000000" w:themeColor="text1"/>
        </w:rPr>
        <w:t>Mon. Wea. Rev.</w:t>
      </w:r>
      <w:r w:rsidRPr="00E716BB">
        <w:rPr>
          <w:color w:val="000000" w:themeColor="text1"/>
        </w:rPr>
        <w:t>, </w:t>
      </w:r>
      <w:r w:rsidRPr="00E716BB">
        <w:rPr>
          <w:b/>
          <w:bCs/>
          <w:color w:val="000000" w:themeColor="text1"/>
        </w:rPr>
        <w:t>126</w:t>
      </w:r>
      <w:r w:rsidRPr="00E716BB">
        <w:rPr>
          <w:color w:val="000000" w:themeColor="text1"/>
        </w:rPr>
        <w:t>, 2555–2579, doi:</w:t>
      </w:r>
      <w:r>
        <w:rPr>
          <w:color w:val="000000" w:themeColor="text1"/>
        </w:rPr>
        <w:t xml:space="preserve"> </w:t>
      </w:r>
      <w:r w:rsidRPr="00E716BB">
        <w:rPr>
          <w:rFonts w:eastAsia="Cambria"/>
          <w:color w:val="000000" w:themeColor="text1"/>
        </w:rPr>
        <w:t>10.1175/1520-0493(1998)126&lt;2555:UTMTDM&gt;2.0.CO;2</w:t>
      </w:r>
      <w:r w:rsidRPr="00E716BB">
        <w:rPr>
          <w:color w:val="000000" w:themeColor="text1"/>
        </w:rPr>
        <w:t>.</w:t>
      </w:r>
    </w:p>
    <w:p w14:paraId="372A64CA" w14:textId="77777777" w:rsidR="00417EF7" w:rsidRDefault="00417EF7" w:rsidP="00417EF7">
      <w:pPr>
        <w:spacing w:line="480" w:lineRule="auto"/>
        <w:ind w:left="720" w:hanging="720"/>
        <w:rPr>
          <w:color w:val="000000" w:themeColor="text1"/>
        </w:rPr>
      </w:pPr>
      <w:r w:rsidRPr="003B3EBB">
        <w:rPr>
          <w:color w:val="000000" w:themeColor="text1"/>
        </w:rPr>
        <w:t>Namias, J., and P. F. Clapp, 1949: Confluence theory of the high tropospheric jet stream. </w:t>
      </w:r>
      <w:r w:rsidRPr="003B3EBB">
        <w:rPr>
          <w:i/>
          <w:iCs/>
          <w:color w:val="000000" w:themeColor="text1"/>
        </w:rPr>
        <w:t>J. Meteor.</w:t>
      </w:r>
      <w:r w:rsidRPr="003B3EBB">
        <w:rPr>
          <w:color w:val="000000" w:themeColor="text1"/>
        </w:rPr>
        <w:t>, </w:t>
      </w:r>
      <w:r w:rsidRPr="003B3EBB">
        <w:rPr>
          <w:b/>
          <w:bCs/>
          <w:color w:val="000000" w:themeColor="text1"/>
        </w:rPr>
        <w:t>6</w:t>
      </w:r>
      <w:r w:rsidRPr="003B3EBB">
        <w:rPr>
          <w:color w:val="000000" w:themeColor="text1"/>
        </w:rPr>
        <w:t>, 330–336, doi: 10.1175/1520-0469(1949)006&lt;0330:CTOTHT&gt;2.0.CO;2. </w:t>
      </w:r>
    </w:p>
    <w:p w14:paraId="7069600A" w14:textId="77777777" w:rsidR="00417EF7" w:rsidRDefault="00417EF7" w:rsidP="00417EF7">
      <w:pPr>
        <w:spacing w:line="480" w:lineRule="auto"/>
        <w:ind w:left="720" w:hanging="720"/>
        <w:rPr>
          <w:color w:val="000000" w:themeColor="text1"/>
        </w:rPr>
      </w:pPr>
      <w:r w:rsidRPr="003B3EBB">
        <w:rPr>
          <w:color w:val="000000" w:themeColor="text1"/>
        </w:rPr>
        <w:t>Newton, C. W., 1954: Frontogenesis and frontolysis as a three-dimensional process. </w:t>
      </w:r>
      <w:r w:rsidRPr="003B3EBB">
        <w:rPr>
          <w:i/>
          <w:iCs/>
          <w:color w:val="000000" w:themeColor="text1"/>
        </w:rPr>
        <w:t>J. Meteor.</w:t>
      </w:r>
      <w:r w:rsidRPr="003B3EBB">
        <w:rPr>
          <w:color w:val="000000" w:themeColor="text1"/>
        </w:rPr>
        <w:t>, </w:t>
      </w:r>
      <w:r w:rsidRPr="003B3EBB">
        <w:rPr>
          <w:b/>
          <w:bCs/>
          <w:color w:val="000000" w:themeColor="text1"/>
        </w:rPr>
        <w:t>11</w:t>
      </w:r>
      <w:r w:rsidRPr="003B3EBB">
        <w:rPr>
          <w:color w:val="000000" w:themeColor="text1"/>
        </w:rPr>
        <w:t>, 449–461, doi: 10.1175/1520-0469(1954)011&lt;0449:FAFAAT&gt;2.0.CO;2. </w:t>
      </w:r>
    </w:p>
    <w:p w14:paraId="1596447D" w14:textId="77777777" w:rsidR="00417EF7" w:rsidRDefault="00417EF7" w:rsidP="00417EF7">
      <w:pPr>
        <w:spacing w:line="480" w:lineRule="auto"/>
        <w:ind w:left="720" w:hanging="720"/>
        <w:rPr>
          <w:color w:val="000000" w:themeColor="text1"/>
        </w:rPr>
      </w:pPr>
      <w:r w:rsidRPr="00932FBE">
        <w:rPr>
          <w:color w:val="000000" w:themeColor="text1"/>
        </w:rPr>
        <w:t>Nielsen-Gammon, J.</w:t>
      </w:r>
      <w:r>
        <w:rPr>
          <w:color w:val="000000" w:themeColor="text1"/>
        </w:rPr>
        <w:t xml:space="preserve"> </w:t>
      </w:r>
      <w:r w:rsidRPr="00932FBE">
        <w:rPr>
          <w:color w:val="000000" w:themeColor="text1"/>
        </w:rPr>
        <w:t>W.</w:t>
      </w:r>
      <w:r>
        <w:rPr>
          <w:color w:val="000000" w:themeColor="text1"/>
        </w:rPr>
        <w:t>,</w:t>
      </w:r>
      <w:r w:rsidRPr="00932FBE">
        <w:rPr>
          <w:color w:val="000000" w:themeColor="text1"/>
        </w:rPr>
        <w:t xml:space="preserve"> and </w:t>
      </w:r>
      <w:r>
        <w:rPr>
          <w:color w:val="000000" w:themeColor="text1"/>
        </w:rPr>
        <w:t xml:space="preserve">R. J. </w:t>
      </w:r>
      <w:r w:rsidRPr="00932FBE">
        <w:rPr>
          <w:color w:val="000000" w:themeColor="text1"/>
        </w:rPr>
        <w:t>Lef</w:t>
      </w:r>
      <w:r>
        <w:rPr>
          <w:color w:val="000000" w:themeColor="text1"/>
        </w:rPr>
        <w:t>e</w:t>
      </w:r>
      <w:r w:rsidRPr="00932FBE">
        <w:rPr>
          <w:color w:val="000000" w:themeColor="text1"/>
        </w:rPr>
        <w:t>vre</w:t>
      </w:r>
      <w:r>
        <w:rPr>
          <w:color w:val="000000" w:themeColor="text1"/>
        </w:rPr>
        <w:t xml:space="preserve">, </w:t>
      </w:r>
      <w:r w:rsidRPr="00932FBE">
        <w:rPr>
          <w:color w:val="000000" w:themeColor="text1"/>
        </w:rPr>
        <w:t>1996</w:t>
      </w:r>
      <w:r>
        <w:rPr>
          <w:color w:val="000000" w:themeColor="text1"/>
        </w:rPr>
        <w:t>:</w:t>
      </w:r>
      <w:r w:rsidRPr="00932FBE">
        <w:rPr>
          <w:color w:val="000000" w:themeColor="text1"/>
        </w:rPr>
        <w:t xml:space="preserve"> Piecewise tendency diagnosis of dynamical processes governing the development of an upper-tropospheric mobile trough. </w:t>
      </w:r>
      <w:r w:rsidRPr="00932FBE">
        <w:rPr>
          <w:i/>
          <w:color w:val="000000" w:themeColor="text1"/>
        </w:rPr>
        <w:t>J. Atmos. Sci.</w:t>
      </w:r>
      <w:r w:rsidRPr="00932FBE">
        <w:rPr>
          <w:color w:val="000000" w:themeColor="text1"/>
        </w:rPr>
        <w:t xml:space="preserve">, </w:t>
      </w:r>
      <w:r w:rsidRPr="00932FBE">
        <w:rPr>
          <w:b/>
          <w:color w:val="000000" w:themeColor="text1"/>
        </w:rPr>
        <w:t>53</w:t>
      </w:r>
      <w:r w:rsidRPr="00932FBE">
        <w:rPr>
          <w:color w:val="000000" w:themeColor="text1"/>
        </w:rPr>
        <w:t>, 3120–3142</w:t>
      </w:r>
      <w:r>
        <w:rPr>
          <w:color w:val="000000" w:themeColor="text1"/>
        </w:rPr>
        <w:t xml:space="preserve">, doi: </w:t>
      </w:r>
      <w:r w:rsidRPr="00932FBE">
        <w:rPr>
          <w:rFonts w:eastAsia="Cambria"/>
          <w:color w:val="000000" w:themeColor="text1"/>
        </w:rPr>
        <w:t>10.1175/1520-0469(1996)053&lt;3120:PTDODP&gt;2.0.CO;2</w:t>
      </w:r>
      <w:r>
        <w:rPr>
          <w:color w:val="000000" w:themeColor="text1"/>
        </w:rPr>
        <w:t>.</w:t>
      </w:r>
    </w:p>
    <w:p w14:paraId="40CE35C5" w14:textId="77777777" w:rsidR="00417EF7" w:rsidRDefault="00417EF7" w:rsidP="00417EF7">
      <w:pPr>
        <w:spacing w:line="480" w:lineRule="auto"/>
        <w:ind w:left="720" w:hanging="720"/>
        <w:rPr>
          <w:color w:val="000000" w:themeColor="text1"/>
        </w:rPr>
      </w:pPr>
      <w:r w:rsidRPr="003B3EBB">
        <w:rPr>
          <w:color w:val="000000" w:themeColor="text1"/>
        </w:rPr>
        <w:t>Palmén, E., and C. W. Newton, 1948: A study of the mean wind and temperature distribution in the vicinity of the polar front in winter. </w:t>
      </w:r>
      <w:r w:rsidRPr="003B3EBB">
        <w:rPr>
          <w:i/>
          <w:iCs/>
          <w:color w:val="000000" w:themeColor="text1"/>
        </w:rPr>
        <w:t>J. Meteor.</w:t>
      </w:r>
      <w:r w:rsidRPr="003B3EBB">
        <w:rPr>
          <w:color w:val="000000" w:themeColor="text1"/>
        </w:rPr>
        <w:t>, </w:t>
      </w:r>
      <w:r w:rsidRPr="003B3EBB">
        <w:rPr>
          <w:b/>
          <w:bCs/>
          <w:color w:val="000000" w:themeColor="text1"/>
        </w:rPr>
        <w:t>5</w:t>
      </w:r>
      <w:r w:rsidRPr="003B3EBB">
        <w:rPr>
          <w:color w:val="000000" w:themeColor="text1"/>
        </w:rPr>
        <w:t>, 220–226, doi: 10.1175/1520-0469(1948)005&lt;0220:ASOTMW&gt;2.0.CO;2. </w:t>
      </w:r>
    </w:p>
    <w:p w14:paraId="41F18F8C" w14:textId="77777777" w:rsidR="00417EF7" w:rsidRDefault="00417EF7" w:rsidP="00417EF7">
      <w:pPr>
        <w:spacing w:line="480" w:lineRule="auto"/>
        <w:ind w:left="720" w:hanging="720"/>
        <w:rPr>
          <w:color w:val="000000" w:themeColor="text1"/>
        </w:rPr>
      </w:pPr>
      <w:r w:rsidRPr="003B3EBB">
        <w:rPr>
          <w:color w:val="000000" w:themeColor="text1"/>
        </w:rPr>
        <w:t>Palmén, E., and C. W. Newton, 1969: </w:t>
      </w:r>
      <w:r w:rsidRPr="003B3EBB">
        <w:rPr>
          <w:i/>
          <w:iCs/>
          <w:color w:val="000000" w:themeColor="text1"/>
        </w:rPr>
        <w:t>Atmospheric Circulation Systems: Their Structure and Physical Interpretation</w:t>
      </w:r>
      <w:r w:rsidRPr="003B3EBB">
        <w:rPr>
          <w:color w:val="000000" w:themeColor="text1"/>
        </w:rPr>
        <w:t>. Academic Press, 603 pp.</w:t>
      </w:r>
    </w:p>
    <w:p w14:paraId="6B1CC48D" w14:textId="7599D208" w:rsidR="00417EF7" w:rsidRDefault="00417EF7" w:rsidP="00417EF7">
      <w:pPr>
        <w:spacing w:line="480" w:lineRule="auto"/>
        <w:ind w:left="720" w:hanging="720"/>
        <w:rPr>
          <w:color w:val="000000" w:themeColor="text1"/>
        </w:rPr>
      </w:pPr>
      <w:r w:rsidRPr="003B3EBB">
        <w:rPr>
          <w:rFonts w:eastAsia="Cambria"/>
          <w:color w:val="000000" w:themeColor="text1"/>
        </w:rPr>
        <w:t>Pyle, </w:t>
      </w:r>
      <w:r w:rsidRPr="003B3EBB">
        <w:rPr>
          <w:color w:val="000000" w:themeColor="text1"/>
        </w:rPr>
        <w:t>M. E., D.</w:t>
      </w:r>
      <w:r w:rsidRPr="003B3EBB">
        <w:rPr>
          <w:rFonts w:eastAsia="Cambria"/>
          <w:color w:val="000000" w:themeColor="text1"/>
        </w:rPr>
        <w:t> Keyser</w:t>
      </w:r>
      <w:r w:rsidRPr="003B3EBB">
        <w:rPr>
          <w:color w:val="000000" w:themeColor="text1"/>
        </w:rPr>
        <w:t>, and L. F.</w:t>
      </w:r>
      <w:r w:rsidRPr="003B3EBB">
        <w:rPr>
          <w:rFonts w:eastAsia="Cambria"/>
          <w:color w:val="000000" w:themeColor="text1"/>
        </w:rPr>
        <w:t> Bosart</w:t>
      </w:r>
      <w:r w:rsidRPr="003B3EBB">
        <w:rPr>
          <w:color w:val="000000" w:themeColor="text1"/>
        </w:rPr>
        <w:t>, 2004: </w:t>
      </w:r>
      <w:r w:rsidRPr="003B3EBB">
        <w:rPr>
          <w:rFonts w:eastAsia="Cambria"/>
          <w:color w:val="000000" w:themeColor="text1"/>
        </w:rPr>
        <w:t>A diagnostic study of jet streaks: Kinematic signatures and relationship to coherent tropopause disturbances</w:t>
      </w:r>
      <w:r w:rsidRPr="003B3EBB">
        <w:rPr>
          <w:color w:val="000000" w:themeColor="text1"/>
        </w:rPr>
        <w:t>. </w:t>
      </w:r>
      <w:r w:rsidRPr="003B3EBB">
        <w:rPr>
          <w:i/>
          <w:iCs/>
          <w:color w:val="000000" w:themeColor="text1"/>
        </w:rPr>
        <w:t>Mon. Wea. Rev.</w:t>
      </w:r>
      <w:r w:rsidRPr="003B3EBB">
        <w:rPr>
          <w:color w:val="000000" w:themeColor="text1"/>
        </w:rPr>
        <w:t>, </w:t>
      </w:r>
      <w:r w:rsidRPr="003B3EBB">
        <w:rPr>
          <w:b/>
          <w:bCs/>
          <w:color w:val="000000" w:themeColor="text1"/>
        </w:rPr>
        <w:t>132</w:t>
      </w:r>
      <w:r w:rsidRPr="003B3EBB">
        <w:rPr>
          <w:color w:val="000000" w:themeColor="text1"/>
        </w:rPr>
        <w:t xml:space="preserve">, 297–319, doi: </w:t>
      </w:r>
      <w:r w:rsidRPr="003B3EBB">
        <w:rPr>
          <w:rFonts w:eastAsia="Cambria"/>
          <w:color w:val="000000" w:themeColor="text1"/>
        </w:rPr>
        <w:t>10.1175/1520-0493(2004)132&lt;0297:ADSOJS&gt;2.0.CO;2</w:t>
      </w:r>
      <w:r w:rsidRPr="003B3EBB">
        <w:rPr>
          <w:color w:val="000000" w:themeColor="text1"/>
        </w:rPr>
        <w:t>.</w:t>
      </w:r>
    </w:p>
    <w:p w14:paraId="291B7099" w14:textId="6C9B2430" w:rsidR="008C7C65" w:rsidRPr="008C7C65" w:rsidRDefault="008C7C65" w:rsidP="00417EF7">
      <w:pPr>
        <w:spacing w:line="480" w:lineRule="auto"/>
        <w:ind w:left="720" w:hanging="720"/>
        <w:rPr>
          <w:color w:val="000000" w:themeColor="text1"/>
        </w:rPr>
      </w:pPr>
      <w:r>
        <w:rPr>
          <w:color w:val="000000" w:themeColor="text1"/>
        </w:rPr>
        <w:lastRenderedPageBreak/>
        <w:t xml:space="preserve">Reed, R. J., Y.-H. Kuo, and S. Low-Nam, 1993: An adiabatic simulation of the ERICA IOP 4 Storm: An example of quasi-ideal frontal cyclone development. </w:t>
      </w:r>
      <w:r>
        <w:rPr>
          <w:i/>
          <w:color w:val="000000" w:themeColor="text1"/>
        </w:rPr>
        <w:t>Mon. Wea. Rev.</w:t>
      </w:r>
      <w:r>
        <w:rPr>
          <w:color w:val="000000" w:themeColor="text1"/>
        </w:rPr>
        <w:t xml:space="preserve">, </w:t>
      </w:r>
      <w:r>
        <w:rPr>
          <w:b/>
          <w:color w:val="000000" w:themeColor="text1"/>
        </w:rPr>
        <w:t>122</w:t>
      </w:r>
      <w:r>
        <w:rPr>
          <w:color w:val="000000" w:themeColor="text1"/>
        </w:rPr>
        <w:t xml:space="preserve">, 2688–2708, doi: </w:t>
      </w:r>
      <w:r w:rsidRPr="008C7C65">
        <w:rPr>
          <w:color w:val="000000" w:themeColor="text1"/>
        </w:rPr>
        <w:t>10.1175/1520-0493(1994)122&lt;2688:AASOTE&gt;2.0.CO;2</w:t>
      </w:r>
      <w:r>
        <w:rPr>
          <w:color w:val="000000" w:themeColor="text1"/>
        </w:rPr>
        <w:t>.</w:t>
      </w:r>
    </w:p>
    <w:p w14:paraId="49AD3521" w14:textId="24EAFBD4" w:rsidR="00417EF7" w:rsidRDefault="00417EF7" w:rsidP="00417EF7">
      <w:pPr>
        <w:spacing w:line="480" w:lineRule="auto"/>
        <w:ind w:left="720" w:hanging="720"/>
        <w:rPr>
          <w:color w:val="000000" w:themeColor="text1"/>
        </w:rPr>
      </w:pPr>
      <w:r w:rsidRPr="003B3EBB">
        <w:rPr>
          <w:color w:val="000000" w:themeColor="text1"/>
        </w:rPr>
        <w:t>Riehl, H., 1962: Jet streams of the atmosphere. Dept. of Atmospheric Science Tech. Rep. 32, Colorado State University, Fort Collins, CO, 117 pp.</w:t>
      </w:r>
    </w:p>
    <w:p w14:paraId="65CBC589" w14:textId="4C5B4EC9" w:rsidR="008C7C65" w:rsidRDefault="008C7C65" w:rsidP="00417EF7">
      <w:pPr>
        <w:spacing w:line="480" w:lineRule="auto"/>
        <w:ind w:left="720" w:hanging="720"/>
        <w:rPr>
          <w:color w:val="000000" w:themeColor="text1"/>
        </w:rPr>
      </w:pPr>
      <w:r>
        <w:rPr>
          <w:color w:val="000000" w:themeColor="text1"/>
        </w:rPr>
        <w:t xml:space="preserve">Riemer, M., S. C. Jones, and C. A. Davis, 2008: The impact of extratropical transition on the downstream flow: An idealized modelling study with a straight jet. </w:t>
      </w:r>
      <w:r>
        <w:rPr>
          <w:i/>
          <w:color w:val="000000" w:themeColor="text1"/>
        </w:rPr>
        <w:t>Quart. J. Roy. Meteor. Soc.</w:t>
      </w:r>
      <w:r>
        <w:rPr>
          <w:color w:val="000000" w:themeColor="text1"/>
        </w:rPr>
        <w:t xml:space="preserve">, </w:t>
      </w:r>
      <w:r>
        <w:rPr>
          <w:b/>
          <w:color w:val="000000" w:themeColor="text1"/>
        </w:rPr>
        <w:t>134</w:t>
      </w:r>
      <w:r>
        <w:rPr>
          <w:color w:val="000000" w:themeColor="text1"/>
        </w:rPr>
        <w:t xml:space="preserve">, 69–91, doi: </w:t>
      </w:r>
      <w:r w:rsidRPr="008C7C65">
        <w:rPr>
          <w:color w:val="000000" w:themeColor="text1"/>
        </w:rPr>
        <w:t>10.1002/qj.189</w:t>
      </w:r>
      <w:r>
        <w:rPr>
          <w:color w:val="000000" w:themeColor="text1"/>
        </w:rPr>
        <w:t>.</w:t>
      </w:r>
    </w:p>
    <w:p w14:paraId="77DBBB23" w14:textId="4A2FFA5C" w:rsidR="008C7C65" w:rsidRPr="008C7C65" w:rsidRDefault="008C7C65" w:rsidP="00417EF7">
      <w:pPr>
        <w:spacing w:line="480" w:lineRule="auto"/>
        <w:ind w:left="720" w:hanging="720"/>
        <w:rPr>
          <w:color w:val="000000" w:themeColor="text1"/>
        </w:rPr>
      </w:pPr>
      <w:r>
        <w:rPr>
          <w:color w:val="000000" w:themeColor="text1"/>
        </w:rPr>
        <w:t xml:space="preserve">Riemer, M., S. C. Jones, 2010: Downstream impact of tropical cyclones on a developing baroclinic wave in idealized scenarios of extratropical transition. </w:t>
      </w:r>
      <w:r>
        <w:rPr>
          <w:i/>
          <w:color w:val="000000" w:themeColor="text1"/>
        </w:rPr>
        <w:t>Quart. J. Roy. Meteor. Soc.</w:t>
      </w:r>
      <w:r>
        <w:rPr>
          <w:color w:val="000000" w:themeColor="text1"/>
        </w:rPr>
        <w:t xml:space="preserve">, </w:t>
      </w:r>
      <w:r>
        <w:rPr>
          <w:b/>
          <w:color w:val="000000" w:themeColor="text1"/>
        </w:rPr>
        <w:t>136</w:t>
      </w:r>
      <w:r>
        <w:rPr>
          <w:color w:val="000000" w:themeColor="text1"/>
        </w:rPr>
        <w:t xml:space="preserve">, 617–637, doi: </w:t>
      </w:r>
      <w:r w:rsidRPr="008C7C65">
        <w:rPr>
          <w:color w:val="000000" w:themeColor="text1"/>
        </w:rPr>
        <w:t>10.1002/qj.605</w:t>
      </w:r>
      <w:r>
        <w:rPr>
          <w:color w:val="000000" w:themeColor="text1"/>
        </w:rPr>
        <w:t>.</w:t>
      </w:r>
    </w:p>
    <w:p w14:paraId="14DC2003" w14:textId="77777777" w:rsidR="00417EF7" w:rsidRDefault="00417EF7" w:rsidP="00417EF7">
      <w:pPr>
        <w:spacing w:line="480" w:lineRule="auto"/>
        <w:ind w:left="720" w:hanging="720"/>
        <w:rPr>
          <w:color w:val="000000" w:themeColor="text1"/>
        </w:rPr>
      </w:pPr>
      <w:r w:rsidRPr="00682DC0">
        <w:rPr>
          <w:rFonts w:eastAsia="Cambria"/>
          <w:color w:val="000000" w:themeColor="text1"/>
        </w:rPr>
        <w:t>Robinson, </w:t>
      </w:r>
      <w:r w:rsidRPr="00682DC0">
        <w:rPr>
          <w:color w:val="000000" w:themeColor="text1"/>
        </w:rPr>
        <w:t>W. A., 1988: </w:t>
      </w:r>
      <w:r w:rsidRPr="00682DC0">
        <w:rPr>
          <w:rFonts w:eastAsia="Cambria"/>
          <w:color w:val="000000" w:themeColor="text1"/>
        </w:rPr>
        <w:t>Analysis of LIMS data by potential vorticity inversion</w:t>
      </w:r>
      <w:r w:rsidRPr="00682DC0">
        <w:rPr>
          <w:color w:val="000000" w:themeColor="text1"/>
        </w:rPr>
        <w:t>. </w:t>
      </w:r>
      <w:r w:rsidRPr="00682DC0">
        <w:rPr>
          <w:i/>
          <w:iCs/>
          <w:color w:val="000000" w:themeColor="text1"/>
        </w:rPr>
        <w:t>J. Atmos. Sci.</w:t>
      </w:r>
      <w:r w:rsidRPr="00682DC0">
        <w:rPr>
          <w:color w:val="000000" w:themeColor="text1"/>
        </w:rPr>
        <w:t>, </w:t>
      </w:r>
      <w:r w:rsidRPr="00682DC0">
        <w:rPr>
          <w:b/>
          <w:bCs/>
          <w:color w:val="000000" w:themeColor="text1"/>
        </w:rPr>
        <w:t>45</w:t>
      </w:r>
      <w:r w:rsidRPr="00682DC0">
        <w:rPr>
          <w:color w:val="000000" w:themeColor="text1"/>
        </w:rPr>
        <w:t xml:space="preserve">, 2319–2342, doi: </w:t>
      </w:r>
      <w:r w:rsidRPr="00682DC0">
        <w:rPr>
          <w:rFonts w:eastAsia="Cambria"/>
          <w:color w:val="000000" w:themeColor="text1"/>
        </w:rPr>
        <w:t>10.1175/1520-0469(1988)045&lt;2319:AOLDBP&gt;2.0.CO;2</w:t>
      </w:r>
      <w:r w:rsidRPr="00682DC0">
        <w:rPr>
          <w:color w:val="000000" w:themeColor="text1"/>
        </w:rPr>
        <w:t>.</w:t>
      </w:r>
    </w:p>
    <w:p w14:paraId="5BC4D194" w14:textId="77777777" w:rsidR="00417EF7" w:rsidRDefault="00417EF7" w:rsidP="00417EF7">
      <w:pPr>
        <w:spacing w:line="480" w:lineRule="auto"/>
        <w:ind w:left="720" w:hanging="720"/>
        <w:rPr>
          <w:color w:val="000000" w:themeColor="text1"/>
        </w:rPr>
      </w:pPr>
      <w:r w:rsidRPr="003B3EBB">
        <w:rPr>
          <w:rFonts w:eastAsia="Cambria"/>
          <w:color w:val="000000" w:themeColor="text1"/>
        </w:rPr>
        <w:t>Roundy, </w:t>
      </w:r>
      <w:r w:rsidRPr="003B3EBB">
        <w:rPr>
          <w:color w:val="000000" w:themeColor="text1"/>
        </w:rPr>
        <w:t>P. E., K.</w:t>
      </w:r>
      <w:r w:rsidRPr="003B3EBB">
        <w:rPr>
          <w:rFonts w:eastAsia="Cambria"/>
          <w:color w:val="000000" w:themeColor="text1"/>
        </w:rPr>
        <w:t> MacRitchie</w:t>
      </w:r>
      <w:r w:rsidRPr="003B3EBB">
        <w:rPr>
          <w:color w:val="000000" w:themeColor="text1"/>
        </w:rPr>
        <w:t>, J.</w:t>
      </w:r>
      <w:r w:rsidRPr="003B3EBB">
        <w:rPr>
          <w:rFonts w:eastAsia="Cambria"/>
          <w:color w:val="000000" w:themeColor="text1"/>
        </w:rPr>
        <w:t> Asuma</w:t>
      </w:r>
      <w:r w:rsidRPr="003B3EBB">
        <w:rPr>
          <w:color w:val="000000" w:themeColor="text1"/>
        </w:rPr>
        <w:t>, and T.</w:t>
      </w:r>
      <w:r w:rsidRPr="003B3EBB">
        <w:rPr>
          <w:rFonts w:eastAsia="Cambria"/>
          <w:color w:val="000000" w:themeColor="text1"/>
        </w:rPr>
        <w:t> Melino</w:t>
      </w:r>
      <w:r w:rsidRPr="003B3EBB">
        <w:rPr>
          <w:color w:val="000000" w:themeColor="text1"/>
        </w:rPr>
        <w:t>, 2010: </w:t>
      </w:r>
      <w:r w:rsidRPr="003B3EBB">
        <w:rPr>
          <w:rFonts w:eastAsia="Cambria"/>
          <w:color w:val="000000" w:themeColor="text1"/>
        </w:rPr>
        <w:t>Modulation of the global atmospheric circulation by combined activity in the Madden–Julian oscillation and the El Niño–Southern Oscillation during boreal winter</w:t>
      </w:r>
      <w:r w:rsidRPr="003B3EBB">
        <w:rPr>
          <w:color w:val="000000" w:themeColor="text1"/>
        </w:rPr>
        <w:t>. </w:t>
      </w:r>
      <w:r w:rsidRPr="003B3EBB">
        <w:rPr>
          <w:i/>
          <w:iCs/>
          <w:color w:val="000000" w:themeColor="text1"/>
        </w:rPr>
        <w:t>J. Climate</w:t>
      </w:r>
      <w:r w:rsidRPr="003B3EBB">
        <w:rPr>
          <w:color w:val="000000" w:themeColor="text1"/>
        </w:rPr>
        <w:t>, </w:t>
      </w:r>
      <w:r w:rsidRPr="003B3EBB">
        <w:rPr>
          <w:b/>
          <w:bCs/>
          <w:color w:val="000000" w:themeColor="text1"/>
        </w:rPr>
        <w:t>23</w:t>
      </w:r>
      <w:r w:rsidRPr="003B3EBB">
        <w:rPr>
          <w:color w:val="000000" w:themeColor="text1"/>
        </w:rPr>
        <w:t xml:space="preserve">, 4045–4059, doi:  </w:t>
      </w:r>
      <w:r w:rsidRPr="003B3EBB">
        <w:rPr>
          <w:rFonts w:eastAsia="Cambria"/>
          <w:color w:val="000000" w:themeColor="text1"/>
        </w:rPr>
        <w:t>10.1175/2010JCLI3446.1</w:t>
      </w:r>
      <w:r w:rsidRPr="003B3EBB">
        <w:rPr>
          <w:color w:val="000000" w:themeColor="text1"/>
        </w:rPr>
        <w:t>.</w:t>
      </w:r>
    </w:p>
    <w:p w14:paraId="28A90757" w14:textId="746FCE63" w:rsidR="00417EF7" w:rsidRDefault="00417EF7" w:rsidP="00417EF7">
      <w:pPr>
        <w:spacing w:line="480" w:lineRule="auto"/>
        <w:ind w:left="720" w:hanging="720"/>
        <w:rPr>
          <w:color w:val="000000" w:themeColor="text1"/>
        </w:rPr>
      </w:pPr>
      <w:r w:rsidRPr="003B3EBB">
        <w:rPr>
          <w:color w:val="000000" w:themeColor="text1"/>
        </w:rPr>
        <w:t xml:space="preserve">Saha, S., and Coauthors, 2010: The NCEP Climate Forecast System Reanalysis. </w:t>
      </w:r>
      <w:r w:rsidRPr="003B3EBB">
        <w:rPr>
          <w:i/>
          <w:color w:val="000000" w:themeColor="text1"/>
        </w:rPr>
        <w:t>Bull. Amer. Meteor. Soc.</w:t>
      </w:r>
      <w:r w:rsidRPr="003B3EBB">
        <w:rPr>
          <w:color w:val="000000" w:themeColor="text1"/>
        </w:rPr>
        <w:t xml:space="preserve">, </w:t>
      </w:r>
      <w:r w:rsidRPr="003B3EBB">
        <w:rPr>
          <w:b/>
          <w:color w:val="000000" w:themeColor="text1"/>
        </w:rPr>
        <w:t>91</w:t>
      </w:r>
      <w:r w:rsidRPr="003B3EBB">
        <w:rPr>
          <w:color w:val="000000" w:themeColor="text1"/>
        </w:rPr>
        <w:t>, 1015–1057, doi: 10.1175/2010BAMS3001.1.</w:t>
      </w:r>
    </w:p>
    <w:p w14:paraId="004DB4CA" w14:textId="5EEADED3" w:rsidR="000E1CAB" w:rsidRPr="000E1CAB" w:rsidRDefault="000E1CAB" w:rsidP="00417EF7">
      <w:pPr>
        <w:spacing w:line="480" w:lineRule="auto"/>
        <w:ind w:left="720" w:hanging="720"/>
        <w:rPr>
          <w:color w:val="000000" w:themeColor="text1"/>
        </w:rPr>
      </w:pPr>
      <w:r>
        <w:rPr>
          <w:color w:val="000000" w:themeColor="text1"/>
        </w:rPr>
        <w:t xml:space="preserve">Sanders, F., and B. J. Hoskins, 1990: An easy method for estimation of Q-vectors from weather maps. </w:t>
      </w:r>
      <w:r>
        <w:rPr>
          <w:i/>
          <w:color w:val="000000" w:themeColor="text1"/>
        </w:rPr>
        <w:t>Wea. Forecasting</w:t>
      </w:r>
      <w:r>
        <w:rPr>
          <w:color w:val="000000" w:themeColor="text1"/>
        </w:rPr>
        <w:t xml:space="preserve">, </w:t>
      </w:r>
      <w:r>
        <w:rPr>
          <w:b/>
          <w:color w:val="000000" w:themeColor="text1"/>
        </w:rPr>
        <w:t>5</w:t>
      </w:r>
      <w:r>
        <w:rPr>
          <w:color w:val="000000" w:themeColor="text1"/>
        </w:rPr>
        <w:t xml:space="preserve">, 346–353, doi: </w:t>
      </w:r>
      <w:r w:rsidRPr="000E1CAB">
        <w:rPr>
          <w:color w:val="000000" w:themeColor="text1"/>
        </w:rPr>
        <w:t>10.1175/1520-0434%281990%29005&lt;0346%3AAEMFEO&gt;2.0.CO%3B2</w:t>
      </w:r>
      <w:r>
        <w:rPr>
          <w:color w:val="000000" w:themeColor="text1"/>
        </w:rPr>
        <w:t>.</w:t>
      </w:r>
    </w:p>
    <w:p w14:paraId="778B4FA5" w14:textId="7B9C14C3" w:rsidR="00417EF7" w:rsidRDefault="00417EF7" w:rsidP="00417EF7">
      <w:pPr>
        <w:spacing w:line="480" w:lineRule="auto"/>
        <w:ind w:left="720" w:hanging="720"/>
        <w:rPr>
          <w:color w:val="000000" w:themeColor="text1"/>
        </w:rPr>
      </w:pPr>
      <w:r w:rsidRPr="003B3EBB">
        <w:rPr>
          <w:color w:val="000000" w:themeColor="text1"/>
        </w:rPr>
        <w:lastRenderedPageBreak/>
        <w:t xml:space="preserve">Schultz, D. M., and C. A. Doswell III, 1999: Conceptual models of upper-level frontogenesis in south-westerly and north-westerly flow. </w:t>
      </w:r>
      <w:r w:rsidRPr="003B3EBB">
        <w:rPr>
          <w:i/>
          <w:color w:val="000000" w:themeColor="text1"/>
        </w:rPr>
        <w:t>Quart. J. Roy. Meteor. Soc.</w:t>
      </w:r>
      <w:r w:rsidRPr="003B3EBB">
        <w:rPr>
          <w:color w:val="000000" w:themeColor="text1"/>
        </w:rPr>
        <w:t xml:space="preserve">, </w:t>
      </w:r>
      <w:r w:rsidRPr="003B3EBB">
        <w:rPr>
          <w:b/>
          <w:color w:val="000000" w:themeColor="text1"/>
        </w:rPr>
        <w:t>125</w:t>
      </w:r>
      <w:r w:rsidRPr="003B3EBB">
        <w:rPr>
          <w:color w:val="000000" w:themeColor="text1"/>
        </w:rPr>
        <w:t>, 2535–2562, doi: 10.1002/qj.49712555910.</w:t>
      </w:r>
    </w:p>
    <w:p w14:paraId="367B723D" w14:textId="1AB51DA3" w:rsidR="00417EF7" w:rsidRDefault="00417EF7" w:rsidP="00417EF7">
      <w:pPr>
        <w:spacing w:line="480" w:lineRule="auto"/>
        <w:ind w:left="720" w:hanging="720"/>
        <w:rPr>
          <w:color w:val="000000" w:themeColor="text1"/>
        </w:rPr>
      </w:pPr>
      <w:r w:rsidRPr="003B3EBB">
        <w:rPr>
          <w:color w:val="000000" w:themeColor="text1"/>
        </w:rPr>
        <w:t xml:space="preserve">Shapiro, M. A., and D. Keyser, 1990: Fronts, jet streams, and the tropopause. </w:t>
      </w:r>
      <w:r w:rsidRPr="003B3EBB">
        <w:rPr>
          <w:i/>
          <w:color w:val="000000" w:themeColor="text1"/>
        </w:rPr>
        <w:t>Extratropical Cyclones: The Erik Palmén Memorial Volume</w:t>
      </w:r>
      <w:r w:rsidRPr="003B3EBB">
        <w:rPr>
          <w:color w:val="000000" w:themeColor="text1"/>
        </w:rPr>
        <w:t>, C. Newton and E. O. Holopainen, Eds., Amer. Meteor. Soc., 167–191.</w:t>
      </w:r>
    </w:p>
    <w:p w14:paraId="313EC830" w14:textId="54000421" w:rsidR="00A034C9" w:rsidRDefault="00A034C9" w:rsidP="009D53F4">
      <w:pPr>
        <w:widowControl w:val="0"/>
        <w:spacing w:line="480" w:lineRule="auto"/>
        <w:ind w:left="720" w:hanging="720"/>
        <w:rPr>
          <w:color w:val="000000" w:themeColor="text1"/>
        </w:rPr>
      </w:pPr>
      <w:r w:rsidRPr="003B3EBB">
        <w:rPr>
          <w:color w:val="000000" w:themeColor="text1"/>
        </w:rPr>
        <w:t xml:space="preserve">Son, S.-W., and S. Lee, 2005: The response of westerly jets to thermal driving in a primitive equation model. </w:t>
      </w:r>
      <w:r w:rsidRPr="003B3EBB">
        <w:rPr>
          <w:i/>
          <w:iCs/>
          <w:color w:val="000000" w:themeColor="text1"/>
        </w:rPr>
        <w:t>J. Atmos. Sci.</w:t>
      </w:r>
      <w:r w:rsidRPr="003B3EBB">
        <w:rPr>
          <w:color w:val="000000" w:themeColor="text1"/>
        </w:rPr>
        <w:t xml:space="preserve">, </w:t>
      </w:r>
      <w:r w:rsidRPr="003B3EBB">
        <w:rPr>
          <w:b/>
          <w:bCs/>
          <w:color w:val="000000" w:themeColor="text1"/>
        </w:rPr>
        <w:t>62</w:t>
      </w:r>
      <w:r w:rsidRPr="003B3EBB">
        <w:rPr>
          <w:color w:val="000000" w:themeColor="text1"/>
        </w:rPr>
        <w:t>, 3741–3757, doi: 10.1175/JAS3571.1.</w:t>
      </w:r>
    </w:p>
    <w:p w14:paraId="38DA6D65" w14:textId="77777777" w:rsidR="00417EF7" w:rsidRDefault="00417EF7" w:rsidP="00417EF7">
      <w:pPr>
        <w:spacing w:line="480" w:lineRule="auto"/>
        <w:ind w:left="720" w:hanging="720"/>
        <w:rPr>
          <w:color w:val="000000" w:themeColor="text1"/>
        </w:rPr>
      </w:pPr>
      <w:r w:rsidRPr="003B3EBB">
        <w:rPr>
          <w:color w:val="000000" w:themeColor="text1"/>
        </w:rPr>
        <w:t xml:space="preserve">Starr, V. P., 1948: An essay on the general circulation of the earth’s atmosphere. </w:t>
      </w:r>
      <w:r w:rsidRPr="003B3EBB">
        <w:rPr>
          <w:i/>
          <w:color w:val="000000" w:themeColor="text1"/>
        </w:rPr>
        <w:t>J. Meteor.</w:t>
      </w:r>
      <w:r w:rsidRPr="003B3EBB">
        <w:rPr>
          <w:color w:val="000000" w:themeColor="text1"/>
        </w:rPr>
        <w:t xml:space="preserve">, </w:t>
      </w:r>
      <w:r w:rsidRPr="003B3EBB">
        <w:rPr>
          <w:b/>
          <w:color w:val="000000" w:themeColor="text1"/>
        </w:rPr>
        <w:t>5</w:t>
      </w:r>
      <w:r w:rsidRPr="003B3EBB">
        <w:rPr>
          <w:color w:val="000000" w:themeColor="text1"/>
        </w:rPr>
        <w:t>, 39–43.</w:t>
      </w:r>
    </w:p>
    <w:p w14:paraId="2EA3905D" w14:textId="77777777" w:rsidR="00417EF7" w:rsidRDefault="00417EF7" w:rsidP="00417EF7">
      <w:pPr>
        <w:spacing w:line="480" w:lineRule="auto"/>
        <w:ind w:left="720" w:hanging="720"/>
        <w:rPr>
          <w:color w:val="000000" w:themeColor="text1"/>
        </w:rPr>
      </w:pPr>
      <w:r w:rsidRPr="003B3EBB">
        <w:rPr>
          <w:color w:val="000000" w:themeColor="text1"/>
        </w:rPr>
        <w:t>Sutcliffe, R. C., and J. K. Bannon, 1954: Seasonal changes in the upper-air conditions in the Mediterranean Middle East area. </w:t>
      </w:r>
      <w:r w:rsidRPr="003B3EBB">
        <w:rPr>
          <w:i/>
          <w:iCs/>
          <w:color w:val="000000" w:themeColor="text1"/>
        </w:rPr>
        <w:t>Proc. Int. Association of Meteorology</w:t>
      </w:r>
      <w:r w:rsidRPr="003B3EBB">
        <w:rPr>
          <w:color w:val="000000" w:themeColor="text1"/>
        </w:rPr>
        <w:t>, Rome, Italy, Int. Union of Geodesy and Geophysics. 322–334.</w:t>
      </w:r>
    </w:p>
    <w:p w14:paraId="6C0EE061" w14:textId="2570EA3F" w:rsidR="008F4054" w:rsidRDefault="00417EF7" w:rsidP="00417EF7">
      <w:pPr>
        <w:spacing w:line="480" w:lineRule="auto"/>
        <w:ind w:left="720" w:hanging="720"/>
        <w:rPr>
          <w:color w:val="000000" w:themeColor="text1"/>
        </w:rPr>
      </w:pPr>
      <w:r w:rsidRPr="00682DC0">
        <w:rPr>
          <w:rFonts w:eastAsia="Cambria"/>
          <w:color w:val="000000" w:themeColor="text1"/>
        </w:rPr>
        <w:t>Thorpe, </w:t>
      </w:r>
      <w:r w:rsidRPr="00682DC0">
        <w:rPr>
          <w:color w:val="000000" w:themeColor="text1"/>
        </w:rPr>
        <w:t>A. J., 1985: </w:t>
      </w:r>
      <w:r w:rsidRPr="00682DC0">
        <w:rPr>
          <w:rFonts w:eastAsia="Cambria"/>
          <w:color w:val="000000" w:themeColor="text1"/>
        </w:rPr>
        <w:t>Diagnosis of balanced vortex structure using potential vorticity</w:t>
      </w:r>
      <w:r w:rsidRPr="00682DC0">
        <w:rPr>
          <w:color w:val="000000" w:themeColor="text1"/>
        </w:rPr>
        <w:t>. </w:t>
      </w:r>
      <w:r w:rsidRPr="00682DC0">
        <w:rPr>
          <w:i/>
          <w:iCs/>
          <w:color w:val="000000" w:themeColor="text1"/>
        </w:rPr>
        <w:t>J. Atmos. Sci.</w:t>
      </w:r>
      <w:r w:rsidRPr="00682DC0">
        <w:rPr>
          <w:color w:val="000000" w:themeColor="text1"/>
        </w:rPr>
        <w:t>, </w:t>
      </w:r>
      <w:r w:rsidRPr="00682DC0">
        <w:rPr>
          <w:b/>
          <w:bCs/>
          <w:color w:val="000000" w:themeColor="text1"/>
        </w:rPr>
        <w:t>42</w:t>
      </w:r>
      <w:r w:rsidRPr="00682DC0">
        <w:rPr>
          <w:color w:val="000000" w:themeColor="text1"/>
        </w:rPr>
        <w:t>, 397–406, doi:</w:t>
      </w:r>
      <w:r>
        <w:rPr>
          <w:color w:val="000000" w:themeColor="text1"/>
        </w:rPr>
        <w:t xml:space="preserve"> </w:t>
      </w:r>
      <w:r w:rsidRPr="00682DC0">
        <w:rPr>
          <w:rFonts w:eastAsia="Cambria"/>
          <w:color w:val="000000" w:themeColor="text1"/>
        </w:rPr>
        <w:t>10.1175/1520-0469(1985)042&lt;0397:DOBVSU&gt;2.0.CO;2</w:t>
      </w:r>
      <w:r w:rsidRPr="00682DC0">
        <w:rPr>
          <w:color w:val="000000" w:themeColor="text1"/>
        </w:rPr>
        <w:t>.</w:t>
      </w:r>
    </w:p>
    <w:p w14:paraId="499239D5" w14:textId="071D44AF" w:rsidR="00A506CA" w:rsidRPr="00A506CA" w:rsidRDefault="00A506CA" w:rsidP="00417EF7">
      <w:pPr>
        <w:spacing w:line="480" w:lineRule="auto"/>
        <w:ind w:left="720" w:hanging="720"/>
        <w:rPr>
          <w:color w:val="000000" w:themeColor="text1"/>
        </w:rPr>
      </w:pPr>
      <w:r>
        <w:rPr>
          <w:color w:val="000000" w:themeColor="text1"/>
        </w:rPr>
        <w:t xml:space="preserve">Uccellini, L. W., and P. J. Kocin, 1987: The interaction of jet streak circulations during heavy snow events along the east coast of the United States. </w:t>
      </w:r>
      <w:r>
        <w:rPr>
          <w:i/>
          <w:color w:val="000000" w:themeColor="text1"/>
        </w:rPr>
        <w:t xml:space="preserve">Wea. Forecasting, </w:t>
      </w:r>
      <w:r>
        <w:rPr>
          <w:b/>
          <w:color w:val="000000" w:themeColor="text1"/>
        </w:rPr>
        <w:t>2</w:t>
      </w:r>
      <w:r>
        <w:rPr>
          <w:color w:val="000000" w:themeColor="text1"/>
        </w:rPr>
        <w:t xml:space="preserve">, 289–308, doi: </w:t>
      </w:r>
      <w:r w:rsidRPr="00A506CA">
        <w:rPr>
          <w:color w:val="000000" w:themeColor="text1"/>
        </w:rPr>
        <w:t>10.1175/1520-0434%281987%29002&lt;0289%3ATIOJSC&gt;2.0.CO%3B2</w:t>
      </w:r>
      <w:r>
        <w:rPr>
          <w:color w:val="000000" w:themeColor="text1"/>
        </w:rPr>
        <w:t>.</w:t>
      </w:r>
    </w:p>
    <w:p w14:paraId="47B7C944" w14:textId="58C08082" w:rsidR="00417EF7" w:rsidRDefault="00417EF7" w:rsidP="00417EF7">
      <w:pPr>
        <w:spacing w:line="480" w:lineRule="auto"/>
        <w:ind w:left="720" w:hanging="720"/>
        <w:rPr>
          <w:color w:val="000000" w:themeColor="text1"/>
        </w:rPr>
      </w:pPr>
      <w:r w:rsidRPr="00043472">
        <w:rPr>
          <w:rFonts w:eastAsia="Cambria"/>
          <w:color w:val="000000" w:themeColor="text1"/>
        </w:rPr>
        <w:t>Wandishin, </w:t>
      </w:r>
      <w:r w:rsidRPr="00043472">
        <w:rPr>
          <w:color w:val="000000" w:themeColor="text1"/>
        </w:rPr>
        <w:t>M. S., J. W.</w:t>
      </w:r>
      <w:r w:rsidRPr="00043472">
        <w:rPr>
          <w:rFonts w:eastAsia="Cambria"/>
          <w:color w:val="000000" w:themeColor="text1"/>
        </w:rPr>
        <w:t> Nielsen-Gammon</w:t>
      </w:r>
      <w:r w:rsidRPr="00043472">
        <w:rPr>
          <w:color w:val="000000" w:themeColor="text1"/>
        </w:rPr>
        <w:t>, and D.</w:t>
      </w:r>
      <w:r w:rsidRPr="00043472">
        <w:rPr>
          <w:rFonts w:eastAsia="Cambria"/>
          <w:color w:val="000000" w:themeColor="text1"/>
        </w:rPr>
        <w:t> Keyser</w:t>
      </w:r>
      <w:r w:rsidRPr="00043472">
        <w:rPr>
          <w:color w:val="000000" w:themeColor="text1"/>
        </w:rPr>
        <w:t>, 2000: </w:t>
      </w:r>
      <w:r w:rsidRPr="00043472">
        <w:rPr>
          <w:rFonts w:eastAsia="Cambria"/>
          <w:color w:val="000000" w:themeColor="text1"/>
        </w:rPr>
        <w:t>A potential vorticity diagnostic approach to upper-level frontogenesis within a developing baroclinic wave</w:t>
      </w:r>
      <w:r w:rsidRPr="00043472">
        <w:rPr>
          <w:color w:val="000000" w:themeColor="text1"/>
        </w:rPr>
        <w:t>. </w:t>
      </w:r>
      <w:r w:rsidRPr="00043472">
        <w:rPr>
          <w:i/>
          <w:iCs/>
          <w:color w:val="000000" w:themeColor="text1"/>
        </w:rPr>
        <w:t>J. Atmos. Sci.</w:t>
      </w:r>
      <w:r w:rsidRPr="00043472">
        <w:rPr>
          <w:color w:val="000000" w:themeColor="text1"/>
        </w:rPr>
        <w:t>, </w:t>
      </w:r>
      <w:r w:rsidRPr="00043472">
        <w:rPr>
          <w:b/>
          <w:bCs/>
          <w:color w:val="000000" w:themeColor="text1"/>
        </w:rPr>
        <w:t>57</w:t>
      </w:r>
      <w:r w:rsidRPr="00043472">
        <w:rPr>
          <w:color w:val="000000" w:themeColor="text1"/>
        </w:rPr>
        <w:t>, 3918–3938, doi:</w:t>
      </w:r>
      <w:r>
        <w:rPr>
          <w:color w:val="000000" w:themeColor="text1"/>
        </w:rPr>
        <w:t xml:space="preserve"> 10</w:t>
      </w:r>
      <w:r w:rsidRPr="00043472">
        <w:rPr>
          <w:rFonts w:eastAsia="Cambria"/>
          <w:color w:val="000000" w:themeColor="text1"/>
        </w:rPr>
        <w:t>.1175/1520-0469(2001)058&lt;3918:APVDAT&gt;2.0.CO;2</w:t>
      </w:r>
      <w:r w:rsidRPr="00043472">
        <w:rPr>
          <w:color w:val="000000" w:themeColor="text1"/>
        </w:rPr>
        <w:t>.</w:t>
      </w:r>
    </w:p>
    <w:p w14:paraId="70B10E44" w14:textId="77777777" w:rsidR="00417EF7" w:rsidRPr="003B3EBB" w:rsidRDefault="00417EF7" w:rsidP="00417EF7">
      <w:pPr>
        <w:spacing w:line="480" w:lineRule="auto"/>
        <w:ind w:left="720" w:hanging="720"/>
        <w:rPr>
          <w:color w:val="000000" w:themeColor="text1"/>
        </w:rPr>
      </w:pPr>
      <w:r w:rsidRPr="003B3EBB">
        <w:rPr>
          <w:color w:val="000000" w:themeColor="text1"/>
        </w:rPr>
        <w:lastRenderedPageBreak/>
        <w:t>Winters, A. C., and J. E. Martin, 2014: The role of a polar/subtropical jet superposition in the May 2010 Nashville flood. </w:t>
      </w:r>
      <w:r w:rsidRPr="003B3EBB">
        <w:rPr>
          <w:i/>
          <w:iCs/>
          <w:color w:val="000000" w:themeColor="text1"/>
        </w:rPr>
        <w:t>Wea. Forecasting</w:t>
      </w:r>
      <w:r w:rsidRPr="003B3EBB">
        <w:rPr>
          <w:color w:val="000000" w:themeColor="text1"/>
        </w:rPr>
        <w:t>, </w:t>
      </w:r>
      <w:r w:rsidRPr="003B3EBB">
        <w:rPr>
          <w:b/>
          <w:bCs/>
          <w:color w:val="000000" w:themeColor="text1"/>
        </w:rPr>
        <w:t>29</w:t>
      </w:r>
      <w:r w:rsidRPr="003B3EBB">
        <w:rPr>
          <w:color w:val="000000" w:themeColor="text1"/>
        </w:rPr>
        <w:t>, 954–974, doi: 10.1175/WAF-D-13-00124.1.</w:t>
      </w:r>
    </w:p>
    <w:p w14:paraId="537D3B5E" w14:textId="77777777" w:rsidR="00417EF7" w:rsidRPr="003B3EBB" w:rsidRDefault="00417EF7" w:rsidP="00417EF7">
      <w:pPr>
        <w:spacing w:line="480" w:lineRule="auto"/>
        <w:ind w:left="720" w:hanging="720"/>
        <w:rPr>
          <w:color w:val="000000" w:themeColor="text1"/>
        </w:rPr>
      </w:pPr>
      <w:r w:rsidRPr="003B3EBB">
        <w:rPr>
          <w:color w:val="000000" w:themeColor="text1"/>
        </w:rPr>
        <w:t>Winters, A. C., and J. E. Martin, 2016: Synoptic and mesoscale processes supporting vertical superposition of the polar and subtropical jets in two contrasting cases. </w:t>
      </w:r>
      <w:r w:rsidRPr="003B3EBB">
        <w:rPr>
          <w:i/>
          <w:iCs/>
          <w:color w:val="000000" w:themeColor="text1"/>
        </w:rPr>
        <w:t>Quart. J. Roy. Meteor. Soc.</w:t>
      </w:r>
      <w:r w:rsidRPr="003B3EBB">
        <w:rPr>
          <w:color w:val="000000" w:themeColor="text1"/>
        </w:rPr>
        <w:t>, </w:t>
      </w:r>
      <w:r w:rsidRPr="003B3EBB">
        <w:rPr>
          <w:b/>
          <w:bCs/>
          <w:color w:val="000000" w:themeColor="text1"/>
        </w:rPr>
        <w:t>142</w:t>
      </w:r>
      <w:r w:rsidRPr="003B3EBB">
        <w:rPr>
          <w:color w:val="000000" w:themeColor="text1"/>
        </w:rPr>
        <w:t>, 1133–1149, doi: 10.1002/qj.2718. </w:t>
      </w:r>
    </w:p>
    <w:p w14:paraId="065B57F3" w14:textId="77777777" w:rsidR="00417EF7" w:rsidRDefault="00417EF7" w:rsidP="00417EF7">
      <w:pPr>
        <w:spacing w:line="480" w:lineRule="auto"/>
        <w:ind w:left="720" w:hanging="720"/>
        <w:rPr>
          <w:color w:val="000000" w:themeColor="text1"/>
        </w:rPr>
      </w:pPr>
      <w:r w:rsidRPr="003B3EBB">
        <w:rPr>
          <w:color w:val="000000" w:themeColor="text1"/>
        </w:rPr>
        <w:t>Winters, A. C., and J. E. Martin, 2017: Diagnosis of a North American polar–subtropical jet superposition employing piecewise potential vorticity inversion. </w:t>
      </w:r>
      <w:r w:rsidRPr="003B3EBB">
        <w:rPr>
          <w:i/>
          <w:iCs/>
          <w:color w:val="000000" w:themeColor="text1"/>
        </w:rPr>
        <w:t>Mon. Wea. Rev.</w:t>
      </w:r>
      <w:r w:rsidRPr="003B3EBB">
        <w:rPr>
          <w:color w:val="000000" w:themeColor="text1"/>
        </w:rPr>
        <w:t>, </w:t>
      </w:r>
      <w:r w:rsidRPr="003B3EBB">
        <w:rPr>
          <w:b/>
          <w:bCs/>
          <w:color w:val="000000" w:themeColor="text1"/>
        </w:rPr>
        <w:t>145</w:t>
      </w:r>
      <w:r w:rsidRPr="003B3EBB">
        <w:rPr>
          <w:color w:val="000000" w:themeColor="text1"/>
        </w:rPr>
        <w:t>, 1853–1873, doi: 10.1175/MWR-D-16-0262.1.</w:t>
      </w:r>
    </w:p>
    <w:p w14:paraId="7949ADBC" w14:textId="13B722EF" w:rsidR="00417EF7" w:rsidRDefault="00417EF7" w:rsidP="00417EF7">
      <w:pPr>
        <w:spacing w:line="480" w:lineRule="auto"/>
        <w:ind w:left="720" w:hanging="720"/>
        <w:rPr>
          <w:color w:val="000000" w:themeColor="text1"/>
        </w:rPr>
      </w:pPr>
      <w:r>
        <w:rPr>
          <w:color w:val="000000" w:themeColor="text1"/>
        </w:rPr>
        <w:t xml:space="preserve">Winters, A. C., D. Keyser, L. F. Bosart, and J. E. Martin, 2020: Composite synoptic-scale environments conducive to North American polar–subtropical jet superposition events. </w:t>
      </w:r>
      <w:r>
        <w:rPr>
          <w:i/>
          <w:color w:val="000000" w:themeColor="text1"/>
        </w:rPr>
        <w:t>Mon. Wea. Rev.</w:t>
      </w:r>
      <w:r>
        <w:rPr>
          <w:color w:val="000000" w:themeColor="text1"/>
        </w:rPr>
        <w:t xml:space="preserve">, </w:t>
      </w:r>
      <w:r>
        <w:rPr>
          <w:b/>
          <w:color w:val="000000" w:themeColor="text1"/>
        </w:rPr>
        <w:t>148</w:t>
      </w:r>
      <w:r>
        <w:rPr>
          <w:color w:val="000000" w:themeColor="text1"/>
        </w:rPr>
        <w:t>,</w:t>
      </w:r>
      <w:r w:rsidR="00E2424A">
        <w:rPr>
          <w:color w:val="000000" w:themeColor="text1"/>
        </w:rPr>
        <w:t xml:space="preserve"> 1987–2008,</w:t>
      </w:r>
      <w:r>
        <w:rPr>
          <w:color w:val="000000" w:themeColor="text1"/>
        </w:rPr>
        <w:t xml:space="preserve"> </w:t>
      </w:r>
      <w:r w:rsidR="007C6854">
        <w:rPr>
          <w:color w:val="000000" w:themeColor="text1"/>
        </w:rPr>
        <w:t xml:space="preserve">doi: </w:t>
      </w:r>
      <w:r w:rsidR="007C6854" w:rsidRPr="007C6854">
        <w:rPr>
          <w:color w:val="000000" w:themeColor="text1"/>
        </w:rPr>
        <w:t>10.1175/MWR-D-19-0353.1</w:t>
      </w:r>
      <w:r>
        <w:rPr>
          <w:color w:val="000000" w:themeColor="text1"/>
        </w:rPr>
        <w:t>.</w:t>
      </w:r>
    </w:p>
    <w:p w14:paraId="7101AC37" w14:textId="13272F43" w:rsidR="001F621D" w:rsidRDefault="00417EF7" w:rsidP="00417EF7">
      <w:pPr>
        <w:spacing w:line="480" w:lineRule="auto"/>
        <w:ind w:left="720" w:hanging="720"/>
        <w:rPr>
          <w:color w:val="000000" w:themeColor="text1"/>
        </w:rPr>
      </w:pPr>
      <w:r w:rsidRPr="003B3EBB">
        <w:rPr>
          <w:color w:val="000000" w:themeColor="text1"/>
        </w:rPr>
        <w:t>Yeh, T. C., 1950: The circulation of the high troposphere over China in the winter of 1945–46. </w:t>
      </w:r>
      <w:r w:rsidRPr="003B3EBB">
        <w:rPr>
          <w:i/>
          <w:iCs/>
          <w:color w:val="000000" w:themeColor="text1"/>
        </w:rPr>
        <w:t>Tellus</w:t>
      </w:r>
      <w:r w:rsidRPr="003B3EBB">
        <w:rPr>
          <w:color w:val="000000" w:themeColor="text1"/>
        </w:rPr>
        <w:t>, </w:t>
      </w:r>
      <w:r w:rsidRPr="003B3EBB">
        <w:rPr>
          <w:b/>
          <w:bCs/>
          <w:color w:val="000000" w:themeColor="text1"/>
        </w:rPr>
        <w:t>2</w:t>
      </w:r>
      <w:r w:rsidRPr="003B3EBB">
        <w:rPr>
          <w:color w:val="000000" w:themeColor="text1"/>
        </w:rPr>
        <w:t>, 173–183, doi: 10.3402/tellusa.v2i3.8548. </w:t>
      </w:r>
    </w:p>
    <w:p w14:paraId="4CD2F315" w14:textId="0C3CFDBB" w:rsidR="00344563" w:rsidRDefault="00344563" w:rsidP="005D54A4">
      <w:pPr>
        <w:spacing w:line="480" w:lineRule="auto"/>
        <w:rPr>
          <w:b/>
        </w:rPr>
      </w:pPr>
    </w:p>
    <w:p w14:paraId="1ADEB4C5" w14:textId="0D87BAC0" w:rsidR="005162BC" w:rsidRDefault="005162BC" w:rsidP="005D54A4">
      <w:pPr>
        <w:spacing w:line="480" w:lineRule="auto"/>
        <w:rPr>
          <w:b/>
        </w:rPr>
      </w:pPr>
    </w:p>
    <w:p w14:paraId="2B1413EB" w14:textId="7C7052D3" w:rsidR="005162BC" w:rsidRDefault="005162BC" w:rsidP="005D54A4">
      <w:pPr>
        <w:spacing w:line="480" w:lineRule="auto"/>
        <w:rPr>
          <w:b/>
        </w:rPr>
      </w:pPr>
    </w:p>
    <w:p w14:paraId="7C265A3E" w14:textId="44618EC1" w:rsidR="005162BC" w:rsidRDefault="005162BC" w:rsidP="005D54A4">
      <w:pPr>
        <w:spacing w:line="480" w:lineRule="auto"/>
        <w:rPr>
          <w:b/>
        </w:rPr>
      </w:pPr>
    </w:p>
    <w:p w14:paraId="6DAE5129" w14:textId="13E9DB93" w:rsidR="005162BC" w:rsidRDefault="005162BC" w:rsidP="005D54A4">
      <w:pPr>
        <w:spacing w:line="480" w:lineRule="auto"/>
        <w:rPr>
          <w:b/>
        </w:rPr>
      </w:pPr>
    </w:p>
    <w:p w14:paraId="0D994550" w14:textId="1F11DC0F" w:rsidR="005162BC" w:rsidRDefault="005162BC" w:rsidP="005D54A4">
      <w:pPr>
        <w:spacing w:line="480" w:lineRule="auto"/>
        <w:rPr>
          <w:b/>
        </w:rPr>
      </w:pPr>
    </w:p>
    <w:p w14:paraId="0B33EED0" w14:textId="03547E24" w:rsidR="00474352" w:rsidRDefault="00474352" w:rsidP="005D54A4">
      <w:pPr>
        <w:spacing w:line="480" w:lineRule="auto"/>
        <w:rPr>
          <w:b/>
        </w:rPr>
      </w:pPr>
    </w:p>
    <w:p w14:paraId="5B77CD9E" w14:textId="3F6CAAD8" w:rsidR="00474352" w:rsidRDefault="00474352" w:rsidP="005D54A4">
      <w:pPr>
        <w:spacing w:line="480" w:lineRule="auto"/>
        <w:rPr>
          <w:b/>
        </w:rPr>
      </w:pPr>
    </w:p>
    <w:p w14:paraId="46E2F5D0" w14:textId="4B36F5BE" w:rsidR="003B46AA" w:rsidRDefault="003B46AA" w:rsidP="005D54A4">
      <w:pPr>
        <w:spacing w:line="480" w:lineRule="auto"/>
        <w:rPr>
          <w:b/>
        </w:rPr>
      </w:pPr>
    </w:p>
    <w:p w14:paraId="688F36A6" w14:textId="3A5AEA15" w:rsidR="00A655BE" w:rsidRPr="00A655BE" w:rsidRDefault="00A655BE" w:rsidP="005D54A4">
      <w:pPr>
        <w:spacing w:line="480" w:lineRule="auto"/>
        <w:rPr>
          <w:b/>
        </w:rPr>
      </w:pPr>
      <w:r w:rsidRPr="00A655BE">
        <w:rPr>
          <w:b/>
        </w:rPr>
        <w:lastRenderedPageBreak/>
        <w:t>Tables</w:t>
      </w:r>
    </w:p>
    <w:tbl>
      <w:tblPr>
        <w:tblStyle w:val="TableGrid"/>
        <w:tblW w:w="0" w:type="auto"/>
        <w:tblLook w:val="04A0" w:firstRow="1" w:lastRow="0" w:firstColumn="1" w:lastColumn="0" w:noHBand="0" w:noVBand="1"/>
      </w:tblPr>
      <w:tblGrid>
        <w:gridCol w:w="2155"/>
        <w:gridCol w:w="1890"/>
        <w:gridCol w:w="1440"/>
        <w:gridCol w:w="2152"/>
        <w:gridCol w:w="1713"/>
      </w:tblGrid>
      <w:tr w:rsidR="00CD34A0" w14:paraId="7CF7DDB8" w14:textId="0E42929E" w:rsidTr="00015F9B">
        <w:trPr>
          <w:trHeight w:val="20"/>
        </w:trPr>
        <w:tc>
          <w:tcPr>
            <w:tcW w:w="9350" w:type="dxa"/>
            <w:gridSpan w:val="5"/>
          </w:tcPr>
          <w:p w14:paraId="2AFF693A" w14:textId="571EFD15" w:rsidR="00CD34A0" w:rsidRDefault="00CD34A0" w:rsidP="002C4D68">
            <w:pPr>
              <w:jc w:val="center"/>
              <w:rPr>
                <w:b/>
                <w:bCs/>
              </w:rPr>
            </w:pPr>
            <w:r>
              <w:rPr>
                <w:b/>
                <w:bCs/>
              </w:rPr>
              <w:t xml:space="preserve">QGPV </w:t>
            </w:r>
            <w:r w:rsidR="00F64044">
              <w:rPr>
                <w:b/>
                <w:bCs/>
              </w:rPr>
              <w:t>Classification</w:t>
            </w:r>
          </w:p>
        </w:tc>
      </w:tr>
      <w:tr w:rsidR="00CD34A0" w14:paraId="2A9D98A7" w14:textId="2374A7E5" w:rsidTr="00577A16">
        <w:trPr>
          <w:trHeight w:val="20"/>
        </w:trPr>
        <w:tc>
          <w:tcPr>
            <w:tcW w:w="2155" w:type="dxa"/>
          </w:tcPr>
          <w:p w14:paraId="3F493815" w14:textId="004DABDE" w:rsidR="00CD34A0" w:rsidRPr="002C4D68" w:rsidRDefault="004E38B5" w:rsidP="002C4D68">
            <w:pPr>
              <w:jc w:val="center"/>
              <w:rPr>
                <w:b/>
                <w:bCs/>
              </w:rPr>
            </w:pPr>
            <w:r>
              <w:rPr>
                <w:b/>
                <w:bCs/>
              </w:rPr>
              <w:t>Category</w:t>
            </w:r>
            <w:r w:rsidR="00CD34A0" w:rsidRPr="002C4D68">
              <w:rPr>
                <w:b/>
                <w:bCs/>
              </w:rPr>
              <w:t xml:space="preserve"> of QGPV</w:t>
            </w:r>
          </w:p>
        </w:tc>
        <w:tc>
          <w:tcPr>
            <w:tcW w:w="1890" w:type="dxa"/>
          </w:tcPr>
          <w:p w14:paraId="76F95A50" w14:textId="014F9965" w:rsidR="00CD34A0" w:rsidRPr="002C4D68" w:rsidRDefault="00CD34A0" w:rsidP="002C4D68">
            <w:pPr>
              <w:jc w:val="center"/>
              <w:rPr>
                <w:b/>
                <w:bCs/>
              </w:rPr>
            </w:pPr>
            <w:r w:rsidRPr="002C4D68">
              <w:rPr>
                <w:b/>
                <w:bCs/>
              </w:rPr>
              <w:t>Event Type</w:t>
            </w:r>
          </w:p>
        </w:tc>
        <w:tc>
          <w:tcPr>
            <w:tcW w:w="1440" w:type="dxa"/>
          </w:tcPr>
          <w:p w14:paraId="570AA35A" w14:textId="4E101826" w:rsidR="00CD34A0" w:rsidRPr="002C4D68" w:rsidRDefault="00CD34A0" w:rsidP="002C4D68">
            <w:pPr>
              <w:jc w:val="center"/>
              <w:rPr>
                <w:b/>
                <w:bCs/>
              </w:rPr>
            </w:pPr>
            <w:r w:rsidRPr="002C4D68">
              <w:rPr>
                <w:b/>
                <w:bCs/>
              </w:rPr>
              <w:t>Spatial Domain</w:t>
            </w:r>
          </w:p>
        </w:tc>
        <w:tc>
          <w:tcPr>
            <w:tcW w:w="2152" w:type="dxa"/>
          </w:tcPr>
          <w:p w14:paraId="4E2989F0" w14:textId="54A256D8" w:rsidR="00CD34A0" w:rsidRPr="002C4D68" w:rsidRDefault="00CD34A0" w:rsidP="002C4D68">
            <w:pPr>
              <w:jc w:val="center"/>
              <w:rPr>
                <w:b/>
                <w:bCs/>
              </w:rPr>
            </w:pPr>
            <w:r w:rsidRPr="002C4D68">
              <w:rPr>
                <w:b/>
                <w:bCs/>
              </w:rPr>
              <w:t>Criteria</w:t>
            </w:r>
          </w:p>
        </w:tc>
        <w:tc>
          <w:tcPr>
            <w:tcW w:w="1713" w:type="dxa"/>
          </w:tcPr>
          <w:p w14:paraId="4D59BD27" w14:textId="5385B76D" w:rsidR="00CD34A0" w:rsidRPr="002C4D68" w:rsidRDefault="00CD34A0" w:rsidP="002C4D68">
            <w:pPr>
              <w:jc w:val="center"/>
              <w:rPr>
                <w:b/>
                <w:bCs/>
              </w:rPr>
            </w:pPr>
            <w:r>
              <w:rPr>
                <w:b/>
                <w:bCs/>
              </w:rPr>
              <w:t>Boundary Condition</w:t>
            </w:r>
          </w:p>
        </w:tc>
      </w:tr>
      <w:tr w:rsidR="00CD34A0" w14:paraId="09451217" w14:textId="06BA6D85" w:rsidTr="00577A16">
        <w:trPr>
          <w:trHeight w:val="20"/>
        </w:trPr>
        <w:tc>
          <w:tcPr>
            <w:tcW w:w="2155" w:type="dxa"/>
            <w:vMerge w:val="restart"/>
          </w:tcPr>
          <w:p w14:paraId="07CDD7A8" w14:textId="77777777" w:rsidR="00EF2410" w:rsidRDefault="00CD34A0" w:rsidP="00CC24FB">
            <w:pPr>
              <w:jc w:val="center"/>
              <w:rPr>
                <w:sz w:val="20"/>
                <w:szCs w:val="20"/>
              </w:rPr>
            </w:pPr>
            <w:r w:rsidRPr="00A655BE">
              <w:rPr>
                <w:sz w:val="20"/>
                <w:szCs w:val="20"/>
              </w:rPr>
              <w:t>Polar Cyclonic QGPV Anomalies</w:t>
            </w:r>
          </w:p>
          <w:p w14:paraId="67781B18" w14:textId="3EA6B23C" w:rsidR="00CD34A0" w:rsidRDefault="00EF2410" w:rsidP="00CC24FB">
            <w:pPr>
              <w:jc w:val="center"/>
              <w:rPr>
                <w:sz w:val="20"/>
                <w:szCs w:val="20"/>
              </w:rPr>
            </w:pPr>
            <m:oMath>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cyc</m:t>
                  </m:r>
                </m:sub>
              </m:sSub>
            </m:oMath>
            <w:r>
              <w:t>)</w:t>
            </w:r>
            <w:r w:rsidR="00CD34A0" w:rsidRPr="00A655BE">
              <w:rPr>
                <w:sz w:val="20"/>
                <w:szCs w:val="20"/>
              </w:rPr>
              <w:t xml:space="preserve"> </w:t>
            </w:r>
          </w:p>
          <w:p w14:paraId="4C01D620" w14:textId="058C40C4" w:rsidR="00EF2410" w:rsidRPr="00A655BE" w:rsidRDefault="00EF2410" w:rsidP="00CC24FB">
            <w:pPr>
              <w:jc w:val="center"/>
              <w:rPr>
                <w:sz w:val="20"/>
                <w:szCs w:val="20"/>
              </w:rPr>
            </w:pPr>
          </w:p>
        </w:tc>
        <w:tc>
          <w:tcPr>
            <w:tcW w:w="1890" w:type="dxa"/>
          </w:tcPr>
          <w:p w14:paraId="7D80743F" w14:textId="3D74E193" w:rsidR="00CD34A0" w:rsidRPr="00A655BE" w:rsidRDefault="00CD34A0" w:rsidP="00CC24FB">
            <w:pPr>
              <w:rPr>
                <w:sz w:val="20"/>
                <w:szCs w:val="20"/>
              </w:rPr>
            </w:pPr>
            <w:r w:rsidRPr="00A655BE">
              <w:rPr>
                <w:sz w:val="20"/>
                <w:szCs w:val="20"/>
              </w:rPr>
              <w:t>Polar</w:t>
            </w:r>
          </w:p>
        </w:tc>
        <w:tc>
          <w:tcPr>
            <w:tcW w:w="1440" w:type="dxa"/>
          </w:tcPr>
          <w:p w14:paraId="4902FF50" w14:textId="68A25ABA" w:rsidR="00CD34A0" w:rsidRPr="00A655BE" w:rsidRDefault="004C60DE" w:rsidP="00CC24FB">
            <w:pPr>
              <w:jc w:val="center"/>
              <w:rPr>
                <w:sz w:val="20"/>
                <w:szCs w:val="20"/>
              </w:rPr>
            </w:pPr>
            <w:r w:rsidRPr="00A655BE">
              <w:rPr>
                <w:sz w:val="20"/>
                <w:szCs w:val="20"/>
              </w:rPr>
              <w:t>20</w:t>
            </w:r>
            <w:r w:rsidR="00577A16" w:rsidRPr="00A655BE">
              <w:rPr>
                <w:sz w:val="20"/>
                <w:szCs w:val="20"/>
              </w:rPr>
              <w:t>–50°N</w:t>
            </w:r>
          </w:p>
          <w:p w14:paraId="43F880EF" w14:textId="788B7A67" w:rsidR="00577A16" w:rsidRPr="00A655BE" w:rsidRDefault="00577A16" w:rsidP="00CC24FB">
            <w:pPr>
              <w:jc w:val="center"/>
              <w:rPr>
                <w:sz w:val="20"/>
                <w:szCs w:val="20"/>
              </w:rPr>
            </w:pPr>
            <w:r w:rsidRPr="00A655BE">
              <w:rPr>
                <w:sz w:val="20"/>
                <w:szCs w:val="20"/>
              </w:rPr>
              <w:t>120–85</w:t>
            </w:r>
            <w:r w:rsidR="006443C2" w:rsidRPr="00A655BE">
              <w:rPr>
                <w:sz w:val="20"/>
                <w:szCs w:val="20"/>
              </w:rPr>
              <w:t>°</w:t>
            </w:r>
            <w:r w:rsidRPr="00A655BE">
              <w:rPr>
                <w:sz w:val="20"/>
                <w:szCs w:val="20"/>
              </w:rPr>
              <w:t>W</w:t>
            </w:r>
          </w:p>
        </w:tc>
        <w:tc>
          <w:tcPr>
            <w:tcW w:w="2152" w:type="dxa"/>
            <w:vMerge w:val="restart"/>
          </w:tcPr>
          <w:p w14:paraId="2F7727F8" w14:textId="185F439E" w:rsidR="00CD34A0" w:rsidRPr="00A655BE" w:rsidRDefault="00CD34A0" w:rsidP="00CC24FB">
            <w:pPr>
              <w:jc w:val="center"/>
              <w:rPr>
                <w:sz w:val="20"/>
                <w:szCs w:val="20"/>
              </w:rPr>
            </w:pPr>
            <m:oMath>
              <m:r>
                <w:rPr>
                  <w:rFonts w:ascii="Cambria Math" w:hAnsi="Cambria Math"/>
                  <w:sz w:val="20"/>
                  <w:szCs w:val="20"/>
                </w:rPr>
                <m:t>q' ≥ 4×</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–5</m:t>
                  </m:r>
                </m:sup>
              </m:sSup>
            </m:oMath>
            <w:r w:rsidRPr="00A655BE">
              <w:rPr>
                <w:sz w:val="20"/>
                <w:szCs w:val="20"/>
              </w:rPr>
              <w:t xml:space="preserve"> s</w:t>
            </w:r>
            <w:r w:rsidRPr="00A655BE">
              <w:rPr>
                <w:sz w:val="20"/>
                <w:szCs w:val="20"/>
                <w:vertAlign w:val="superscript"/>
              </w:rPr>
              <w:t xml:space="preserve">–1 </w:t>
            </w:r>
            <w:r w:rsidR="00DF114C">
              <w:rPr>
                <w:sz w:val="20"/>
                <w:szCs w:val="20"/>
              </w:rPr>
              <w:t>in the</w:t>
            </w:r>
            <w:r w:rsidRPr="00A655BE">
              <w:rPr>
                <w:sz w:val="20"/>
                <w:szCs w:val="20"/>
              </w:rPr>
              <w:t xml:space="preserve"> 700–150</w:t>
            </w:r>
            <w:r w:rsidR="00451A09">
              <w:rPr>
                <w:sz w:val="20"/>
                <w:szCs w:val="20"/>
              </w:rPr>
              <w:t>-</w:t>
            </w:r>
            <w:r w:rsidRPr="00A655BE">
              <w:rPr>
                <w:sz w:val="20"/>
                <w:szCs w:val="20"/>
              </w:rPr>
              <w:t>hPa</w:t>
            </w:r>
            <w:r w:rsidR="00DF114C">
              <w:rPr>
                <w:sz w:val="20"/>
                <w:szCs w:val="20"/>
              </w:rPr>
              <w:t xml:space="preserve"> layer</w:t>
            </w:r>
          </w:p>
        </w:tc>
        <w:tc>
          <w:tcPr>
            <w:tcW w:w="1713" w:type="dxa"/>
            <w:vMerge w:val="restart"/>
          </w:tcPr>
          <w:p w14:paraId="39082D75" w14:textId="0C4FD3EC" w:rsidR="00CD34A0" w:rsidRPr="00A655BE" w:rsidRDefault="009E1776" w:rsidP="00CC24FB">
            <w:pPr>
              <w:jc w:val="center"/>
              <w:rPr>
                <w:sz w:val="20"/>
                <w:szCs w:val="20"/>
              </w:rPr>
            </w:pPr>
            <m:oMath>
              <m:sSub>
                <m:sSubPr>
                  <m:ctrlPr>
                    <w:rPr>
                      <w:rFonts w:ascii="Cambria Math" w:hAnsi="Cambria Math"/>
                      <w:i/>
                      <w:sz w:val="20"/>
                      <w:szCs w:val="20"/>
                    </w:rPr>
                  </m:ctrlPr>
                </m:sSubPr>
                <m:e>
                  <m:r>
                    <w:rPr>
                      <w:rFonts w:ascii="Cambria Math" w:hAnsi="Cambria Math"/>
                      <w:sz w:val="20"/>
                      <w:szCs w:val="20"/>
                    </w:rPr>
                    <m:t>ϕ</m:t>
                  </m:r>
                </m:e>
                <m:sub>
                  <m:r>
                    <w:rPr>
                      <w:rFonts w:ascii="Cambria Math" w:hAnsi="Cambria Math"/>
                      <w:sz w:val="20"/>
                      <w:szCs w:val="20"/>
                    </w:rPr>
                    <m:t>i</m:t>
                  </m:r>
                </m:sub>
              </m:sSub>
              <m:r>
                <w:rPr>
                  <w:rFonts w:ascii="Cambria Math" w:hAnsi="Cambria Math"/>
                  <w:sz w:val="20"/>
                  <w:szCs w:val="20"/>
                </w:rPr>
                <m:t>'</m:t>
              </m:r>
            </m:oMath>
            <w:r w:rsidR="00CD34A0" w:rsidRPr="00A655BE">
              <w:rPr>
                <w:sz w:val="20"/>
                <w:szCs w:val="20"/>
              </w:rPr>
              <w:t xml:space="preserve"> </w:t>
            </w:r>
            <w:r w:rsidR="000030FB" w:rsidRPr="00A655BE">
              <w:rPr>
                <w:sz w:val="20"/>
                <w:szCs w:val="20"/>
              </w:rPr>
              <w:t xml:space="preserve">= </w:t>
            </w:r>
            <w:r w:rsidR="00CD34A0" w:rsidRPr="00A655BE">
              <w:rPr>
                <w:sz w:val="20"/>
                <w:szCs w:val="20"/>
              </w:rPr>
              <w:t>0 on all lateral and horizontal boundaries</w:t>
            </w:r>
          </w:p>
        </w:tc>
      </w:tr>
      <w:tr w:rsidR="00CD34A0" w14:paraId="74874D6F" w14:textId="09C4A671" w:rsidTr="00577A16">
        <w:trPr>
          <w:trHeight w:val="20"/>
        </w:trPr>
        <w:tc>
          <w:tcPr>
            <w:tcW w:w="2155" w:type="dxa"/>
            <w:vMerge/>
          </w:tcPr>
          <w:p w14:paraId="39D3AA4A" w14:textId="77777777" w:rsidR="00CD34A0" w:rsidRPr="00A655BE" w:rsidRDefault="00CD34A0" w:rsidP="00CC24FB">
            <w:pPr>
              <w:jc w:val="center"/>
              <w:rPr>
                <w:sz w:val="20"/>
                <w:szCs w:val="20"/>
              </w:rPr>
            </w:pPr>
          </w:p>
        </w:tc>
        <w:tc>
          <w:tcPr>
            <w:tcW w:w="1890" w:type="dxa"/>
          </w:tcPr>
          <w:p w14:paraId="083899A0" w14:textId="6D132684" w:rsidR="00CD34A0" w:rsidRPr="00A655BE" w:rsidRDefault="00CD34A0" w:rsidP="00CC24FB">
            <w:pPr>
              <w:rPr>
                <w:sz w:val="20"/>
                <w:szCs w:val="20"/>
              </w:rPr>
            </w:pPr>
            <w:r w:rsidRPr="00A655BE">
              <w:rPr>
                <w:sz w:val="20"/>
                <w:szCs w:val="20"/>
              </w:rPr>
              <w:t>East Subtropical</w:t>
            </w:r>
          </w:p>
        </w:tc>
        <w:tc>
          <w:tcPr>
            <w:tcW w:w="1440" w:type="dxa"/>
          </w:tcPr>
          <w:p w14:paraId="33F634A1" w14:textId="5073CEEC" w:rsidR="00577A16" w:rsidRPr="00A655BE" w:rsidRDefault="00577A16" w:rsidP="00577A16">
            <w:pPr>
              <w:jc w:val="center"/>
              <w:rPr>
                <w:sz w:val="20"/>
                <w:szCs w:val="20"/>
              </w:rPr>
            </w:pPr>
            <w:r w:rsidRPr="00A655BE">
              <w:rPr>
                <w:sz w:val="20"/>
                <w:szCs w:val="20"/>
              </w:rPr>
              <w:t>25–70</w:t>
            </w:r>
            <w:r w:rsidR="006443C2" w:rsidRPr="00A655BE">
              <w:rPr>
                <w:sz w:val="20"/>
                <w:szCs w:val="20"/>
              </w:rPr>
              <w:t>°</w:t>
            </w:r>
            <w:r w:rsidRPr="00A655BE">
              <w:rPr>
                <w:sz w:val="20"/>
                <w:szCs w:val="20"/>
              </w:rPr>
              <w:t>N</w:t>
            </w:r>
          </w:p>
          <w:p w14:paraId="7E6A4033" w14:textId="02999223" w:rsidR="00CD34A0" w:rsidRPr="00A655BE" w:rsidRDefault="00577A16" w:rsidP="00577A16">
            <w:pPr>
              <w:jc w:val="center"/>
              <w:rPr>
                <w:sz w:val="20"/>
                <w:szCs w:val="20"/>
              </w:rPr>
            </w:pPr>
            <w:r w:rsidRPr="00A655BE">
              <w:rPr>
                <w:sz w:val="20"/>
                <w:szCs w:val="20"/>
              </w:rPr>
              <w:t>105–55</w:t>
            </w:r>
            <w:r w:rsidR="006443C2" w:rsidRPr="00A655BE">
              <w:rPr>
                <w:sz w:val="20"/>
                <w:szCs w:val="20"/>
              </w:rPr>
              <w:t>°</w:t>
            </w:r>
            <w:r w:rsidRPr="00A655BE">
              <w:rPr>
                <w:sz w:val="20"/>
                <w:szCs w:val="20"/>
              </w:rPr>
              <w:t>W</w:t>
            </w:r>
          </w:p>
        </w:tc>
        <w:tc>
          <w:tcPr>
            <w:tcW w:w="2152" w:type="dxa"/>
            <w:vMerge/>
          </w:tcPr>
          <w:p w14:paraId="4D2DE3C1" w14:textId="77777777" w:rsidR="00CD34A0" w:rsidRPr="00A655BE" w:rsidRDefault="00CD34A0" w:rsidP="00CC24FB">
            <w:pPr>
              <w:jc w:val="center"/>
              <w:rPr>
                <w:sz w:val="20"/>
                <w:szCs w:val="20"/>
              </w:rPr>
            </w:pPr>
          </w:p>
        </w:tc>
        <w:tc>
          <w:tcPr>
            <w:tcW w:w="1713" w:type="dxa"/>
            <w:vMerge/>
          </w:tcPr>
          <w:p w14:paraId="5831F4B9" w14:textId="77777777" w:rsidR="00CD34A0" w:rsidRPr="00A655BE" w:rsidRDefault="00CD34A0" w:rsidP="00CC24FB">
            <w:pPr>
              <w:jc w:val="center"/>
              <w:rPr>
                <w:sz w:val="20"/>
                <w:szCs w:val="20"/>
              </w:rPr>
            </w:pPr>
          </w:p>
        </w:tc>
      </w:tr>
      <w:tr w:rsidR="00CD34A0" w14:paraId="2FA4B2B8" w14:textId="0F86357A" w:rsidTr="00577A16">
        <w:trPr>
          <w:trHeight w:val="20"/>
        </w:trPr>
        <w:tc>
          <w:tcPr>
            <w:tcW w:w="2155" w:type="dxa"/>
            <w:vMerge/>
          </w:tcPr>
          <w:p w14:paraId="05B291DD" w14:textId="77777777" w:rsidR="00CD34A0" w:rsidRPr="00A655BE" w:rsidRDefault="00CD34A0" w:rsidP="00CC24FB">
            <w:pPr>
              <w:jc w:val="center"/>
              <w:rPr>
                <w:sz w:val="20"/>
                <w:szCs w:val="20"/>
              </w:rPr>
            </w:pPr>
          </w:p>
        </w:tc>
        <w:tc>
          <w:tcPr>
            <w:tcW w:w="1890" w:type="dxa"/>
          </w:tcPr>
          <w:p w14:paraId="2E928C8D" w14:textId="33E906DB" w:rsidR="00CD34A0" w:rsidRPr="00A655BE" w:rsidRDefault="00CD34A0" w:rsidP="00CC24FB">
            <w:pPr>
              <w:rPr>
                <w:sz w:val="20"/>
                <w:szCs w:val="20"/>
              </w:rPr>
            </w:pPr>
            <w:r w:rsidRPr="00A655BE">
              <w:rPr>
                <w:sz w:val="20"/>
                <w:szCs w:val="20"/>
              </w:rPr>
              <w:t>West Subtropical</w:t>
            </w:r>
          </w:p>
        </w:tc>
        <w:tc>
          <w:tcPr>
            <w:tcW w:w="1440" w:type="dxa"/>
          </w:tcPr>
          <w:p w14:paraId="2C4F5665" w14:textId="70C0B98E" w:rsidR="00577A16" w:rsidRPr="00A655BE" w:rsidRDefault="00577A16" w:rsidP="00577A16">
            <w:pPr>
              <w:jc w:val="center"/>
              <w:rPr>
                <w:sz w:val="20"/>
                <w:szCs w:val="20"/>
              </w:rPr>
            </w:pPr>
            <w:r w:rsidRPr="00A655BE">
              <w:rPr>
                <w:sz w:val="20"/>
                <w:szCs w:val="20"/>
              </w:rPr>
              <w:t>30–70</w:t>
            </w:r>
            <w:r w:rsidR="006443C2" w:rsidRPr="00A655BE">
              <w:rPr>
                <w:sz w:val="20"/>
                <w:szCs w:val="20"/>
              </w:rPr>
              <w:t>°</w:t>
            </w:r>
            <w:r w:rsidRPr="00A655BE">
              <w:rPr>
                <w:sz w:val="20"/>
                <w:szCs w:val="20"/>
              </w:rPr>
              <w:t>N</w:t>
            </w:r>
          </w:p>
          <w:p w14:paraId="4726B8B7" w14:textId="6185805B" w:rsidR="00CD34A0" w:rsidRPr="00A655BE" w:rsidRDefault="00577A16" w:rsidP="00577A16">
            <w:pPr>
              <w:jc w:val="center"/>
              <w:rPr>
                <w:sz w:val="20"/>
                <w:szCs w:val="20"/>
              </w:rPr>
            </w:pPr>
            <w:r w:rsidRPr="00A655BE">
              <w:rPr>
                <w:sz w:val="20"/>
                <w:szCs w:val="20"/>
              </w:rPr>
              <w:t>160–100</w:t>
            </w:r>
            <w:r w:rsidR="006443C2" w:rsidRPr="00A655BE">
              <w:rPr>
                <w:sz w:val="20"/>
                <w:szCs w:val="20"/>
              </w:rPr>
              <w:t>°</w:t>
            </w:r>
            <w:r w:rsidRPr="00A655BE">
              <w:rPr>
                <w:sz w:val="20"/>
                <w:szCs w:val="20"/>
              </w:rPr>
              <w:t>W</w:t>
            </w:r>
          </w:p>
        </w:tc>
        <w:tc>
          <w:tcPr>
            <w:tcW w:w="2152" w:type="dxa"/>
            <w:vMerge/>
          </w:tcPr>
          <w:p w14:paraId="338926DD" w14:textId="77777777" w:rsidR="00CD34A0" w:rsidRPr="00A655BE" w:rsidRDefault="00CD34A0" w:rsidP="00CC24FB">
            <w:pPr>
              <w:jc w:val="center"/>
              <w:rPr>
                <w:sz w:val="20"/>
                <w:szCs w:val="20"/>
              </w:rPr>
            </w:pPr>
          </w:p>
        </w:tc>
        <w:tc>
          <w:tcPr>
            <w:tcW w:w="1713" w:type="dxa"/>
            <w:vMerge/>
          </w:tcPr>
          <w:p w14:paraId="2ABE3BC0" w14:textId="77777777" w:rsidR="00CD34A0" w:rsidRPr="00A655BE" w:rsidRDefault="00CD34A0" w:rsidP="00CC24FB">
            <w:pPr>
              <w:jc w:val="center"/>
              <w:rPr>
                <w:sz w:val="20"/>
                <w:szCs w:val="20"/>
              </w:rPr>
            </w:pPr>
          </w:p>
        </w:tc>
      </w:tr>
      <w:tr w:rsidR="00577A16" w14:paraId="04B12FDE" w14:textId="5F06F197" w:rsidTr="00577A16">
        <w:trPr>
          <w:trHeight w:val="20"/>
        </w:trPr>
        <w:tc>
          <w:tcPr>
            <w:tcW w:w="2155" w:type="dxa"/>
            <w:vMerge w:val="restart"/>
          </w:tcPr>
          <w:p w14:paraId="5185EC06" w14:textId="77777777" w:rsidR="00577A16" w:rsidRDefault="00577A16" w:rsidP="00577A16">
            <w:pPr>
              <w:jc w:val="center"/>
              <w:rPr>
                <w:sz w:val="20"/>
                <w:szCs w:val="20"/>
              </w:rPr>
            </w:pPr>
            <w:r w:rsidRPr="00A655BE">
              <w:rPr>
                <w:sz w:val="20"/>
                <w:szCs w:val="20"/>
              </w:rPr>
              <w:t xml:space="preserve">Tropical Anticyclonic QGPV Anomalies </w:t>
            </w:r>
          </w:p>
          <w:p w14:paraId="5C690CCA" w14:textId="25D8812E" w:rsidR="00EF2410" w:rsidRPr="00A655BE" w:rsidRDefault="00EF2410" w:rsidP="00577A16">
            <w:pPr>
              <w:jc w:val="center"/>
              <w:rPr>
                <w:sz w:val="20"/>
                <w:szCs w:val="20"/>
              </w:rPr>
            </w:pPr>
            <m:oMath>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ant</m:t>
                  </m:r>
                </m:sub>
              </m:sSub>
            </m:oMath>
            <w:r>
              <w:t>)</w:t>
            </w:r>
          </w:p>
        </w:tc>
        <w:tc>
          <w:tcPr>
            <w:tcW w:w="1890" w:type="dxa"/>
          </w:tcPr>
          <w:p w14:paraId="451C9A51" w14:textId="47FE8C8F" w:rsidR="00577A16" w:rsidRPr="00A655BE" w:rsidRDefault="00577A16" w:rsidP="00577A16">
            <w:pPr>
              <w:rPr>
                <w:sz w:val="20"/>
                <w:szCs w:val="20"/>
              </w:rPr>
            </w:pPr>
            <w:r w:rsidRPr="00A655BE">
              <w:rPr>
                <w:sz w:val="20"/>
                <w:szCs w:val="20"/>
              </w:rPr>
              <w:t>Polar</w:t>
            </w:r>
          </w:p>
        </w:tc>
        <w:tc>
          <w:tcPr>
            <w:tcW w:w="1440" w:type="dxa"/>
          </w:tcPr>
          <w:p w14:paraId="670E2DF7" w14:textId="061A179D" w:rsidR="00577A16" w:rsidRPr="00A655BE" w:rsidRDefault="00577A16" w:rsidP="00577A16">
            <w:pPr>
              <w:jc w:val="center"/>
              <w:rPr>
                <w:sz w:val="20"/>
                <w:szCs w:val="20"/>
              </w:rPr>
            </w:pPr>
            <w:r w:rsidRPr="00A655BE">
              <w:rPr>
                <w:sz w:val="20"/>
                <w:szCs w:val="20"/>
              </w:rPr>
              <w:t>20–30</w:t>
            </w:r>
            <w:r w:rsidR="006443C2" w:rsidRPr="00A655BE">
              <w:rPr>
                <w:sz w:val="20"/>
                <w:szCs w:val="20"/>
              </w:rPr>
              <w:t>°</w:t>
            </w:r>
            <w:r w:rsidRPr="00A655BE">
              <w:rPr>
                <w:sz w:val="20"/>
                <w:szCs w:val="20"/>
              </w:rPr>
              <w:t>N</w:t>
            </w:r>
          </w:p>
          <w:p w14:paraId="7558F5B5" w14:textId="10989A87" w:rsidR="00577A16" w:rsidRPr="00A655BE" w:rsidRDefault="00577A16" w:rsidP="00577A16">
            <w:pPr>
              <w:jc w:val="center"/>
              <w:rPr>
                <w:sz w:val="20"/>
                <w:szCs w:val="20"/>
              </w:rPr>
            </w:pPr>
            <w:r w:rsidRPr="00A655BE">
              <w:rPr>
                <w:sz w:val="20"/>
                <w:szCs w:val="20"/>
              </w:rPr>
              <w:t>112–87</w:t>
            </w:r>
            <w:r w:rsidR="006443C2" w:rsidRPr="00A655BE">
              <w:rPr>
                <w:sz w:val="20"/>
                <w:szCs w:val="20"/>
              </w:rPr>
              <w:t>°</w:t>
            </w:r>
            <w:r w:rsidRPr="00A655BE">
              <w:rPr>
                <w:sz w:val="20"/>
                <w:szCs w:val="20"/>
              </w:rPr>
              <w:t>W</w:t>
            </w:r>
          </w:p>
        </w:tc>
        <w:tc>
          <w:tcPr>
            <w:tcW w:w="2152" w:type="dxa"/>
            <w:vMerge w:val="restart"/>
          </w:tcPr>
          <w:p w14:paraId="70D70A40" w14:textId="449BD67B" w:rsidR="00577A16" w:rsidRPr="00A655BE" w:rsidRDefault="00577A16" w:rsidP="00577A16">
            <w:pPr>
              <w:jc w:val="center"/>
              <w:rPr>
                <w:sz w:val="20"/>
                <w:szCs w:val="20"/>
              </w:rPr>
            </w:pPr>
            <m:oMath>
              <m:r>
                <w:rPr>
                  <w:rFonts w:ascii="Cambria Math" w:hAnsi="Cambria Math"/>
                  <w:sz w:val="20"/>
                  <w:szCs w:val="20"/>
                </w:rPr>
                <m:t>q'≤ –4×</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–5</m:t>
                  </m:r>
                </m:sup>
              </m:sSup>
            </m:oMath>
            <w:r w:rsidRPr="00A655BE">
              <w:rPr>
                <w:sz w:val="20"/>
                <w:szCs w:val="20"/>
              </w:rPr>
              <w:t xml:space="preserve"> s</w:t>
            </w:r>
            <w:r w:rsidRPr="00A655BE">
              <w:rPr>
                <w:sz w:val="20"/>
                <w:szCs w:val="20"/>
                <w:vertAlign w:val="superscript"/>
              </w:rPr>
              <w:t xml:space="preserve">–1 </w:t>
            </w:r>
            <w:r w:rsidR="00DF114C">
              <w:rPr>
                <w:sz w:val="20"/>
                <w:szCs w:val="20"/>
              </w:rPr>
              <w:t>in the</w:t>
            </w:r>
            <w:r w:rsidRPr="00A655BE">
              <w:rPr>
                <w:sz w:val="20"/>
                <w:szCs w:val="20"/>
              </w:rPr>
              <w:t xml:space="preserve"> 700–150</w:t>
            </w:r>
            <w:r w:rsidR="00451A09">
              <w:rPr>
                <w:sz w:val="20"/>
                <w:szCs w:val="20"/>
              </w:rPr>
              <w:t>-</w:t>
            </w:r>
            <w:r w:rsidRPr="00A655BE">
              <w:rPr>
                <w:sz w:val="20"/>
                <w:szCs w:val="20"/>
              </w:rPr>
              <w:t>hPa</w:t>
            </w:r>
            <w:r w:rsidR="00DF114C">
              <w:rPr>
                <w:sz w:val="20"/>
                <w:szCs w:val="20"/>
              </w:rPr>
              <w:t xml:space="preserve"> layer</w:t>
            </w:r>
          </w:p>
        </w:tc>
        <w:tc>
          <w:tcPr>
            <w:tcW w:w="1713" w:type="dxa"/>
            <w:vMerge w:val="restart"/>
          </w:tcPr>
          <w:p w14:paraId="286F1A94" w14:textId="4A8F3F50" w:rsidR="00577A16" w:rsidRPr="00A655BE" w:rsidRDefault="009E1776" w:rsidP="00577A16">
            <w:pPr>
              <w:jc w:val="center"/>
              <w:rPr>
                <w:sz w:val="20"/>
                <w:szCs w:val="20"/>
              </w:rPr>
            </w:pPr>
            <m:oMath>
              <m:sSub>
                <m:sSubPr>
                  <m:ctrlPr>
                    <w:rPr>
                      <w:rFonts w:ascii="Cambria Math" w:hAnsi="Cambria Math"/>
                      <w:i/>
                      <w:sz w:val="20"/>
                      <w:szCs w:val="20"/>
                    </w:rPr>
                  </m:ctrlPr>
                </m:sSubPr>
                <m:e>
                  <m:r>
                    <w:rPr>
                      <w:rFonts w:ascii="Cambria Math" w:hAnsi="Cambria Math"/>
                      <w:sz w:val="20"/>
                      <w:szCs w:val="20"/>
                    </w:rPr>
                    <m:t>ϕ</m:t>
                  </m:r>
                </m:e>
                <m:sub>
                  <m:r>
                    <w:rPr>
                      <w:rFonts w:ascii="Cambria Math" w:hAnsi="Cambria Math"/>
                      <w:sz w:val="20"/>
                      <w:szCs w:val="20"/>
                    </w:rPr>
                    <m:t>i</m:t>
                  </m:r>
                </m:sub>
              </m:sSub>
              <m:r>
                <w:rPr>
                  <w:rFonts w:ascii="Cambria Math" w:hAnsi="Cambria Math"/>
                  <w:sz w:val="20"/>
                  <w:szCs w:val="20"/>
                </w:rPr>
                <m:t>'</m:t>
              </m:r>
            </m:oMath>
            <w:r w:rsidR="00577A16" w:rsidRPr="00A655BE">
              <w:rPr>
                <w:sz w:val="20"/>
                <w:szCs w:val="20"/>
              </w:rPr>
              <w:t xml:space="preserve"> = 0 on all lateral and horizontal boundaries</w:t>
            </w:r>
          </w:p>
        </w:tc>
      </w:tr>
      <w:tr w:rsidR="00577A16" w14:paraId="2FF6B8BE" w14:textId="495B68BF" w:rsidTr="00577A16">
        <w:trPr>
          <w:trHeight w:val="20"/>
        </w:trPr>
        <w:tc>
          <w:tcPr>
            <w:tcW w:w="2155" w:type="dxa"/>
            <w:vMerge/>
          </w:tcPr>
          <w:p w14:paraId="1C85F972" w14:textId="77777777" w:rsidR="00577A16" w:rsidRPr="00A655BE" w:rsidRDefault="00577A16" w:rsidP="00577A16">
            <w:pPr>
              <w:jc w:val="center"/>
              <w:rPr>
                <w:sz w:val="20"/>
                <w:szCs w:val="20"/>
              </w:rPr>
            </w:pPr>
          </w:p>
        </w:tc>
        <w:tc>
          <w:tcPr>
            <w:tcW w:w="1890" w:type="dxa"/>
          </w:tcPr>
          <w:p w14:paraId="5ABF3AD1" w14:textId="19E06E10" w:rsidR="00577A16" w:rsidRPr="00A655BE" w:rsidRDefault="00577A16" w:rsidP="00577A16">
            <w:pPr>
              <w:rPr>
                <w:sz w:val="20"/>
                <w:szCs w:val="20"/>
              </w:rPr>
            </w:pPr>
            <w:r w:rsidRPr="00A655BE">
              <w:rPr>
                <w:sz w:val="20"/>
                <w:szCs w:val="20"/>
              </w:rPr>
              <w:t>East Subtropical</w:t>
            </w:r>
          </w:p>
        </w:tc>
        <w:tc>
          <w:tcPr>
            <w:tcW w:w="1440" w:type="dxa"/>
          </w:tcPr>
          <w:p w14:paraId="5BAF8AE7" w14:textId="7471D782" w:rsidR="00577A16" w:rsidRPr="00A655BE" w:rsidRDefault="00577A16" w:rsidP="00577A16">
            <w:pPr>
              <w:jc w:val="center"/>
              <w:rPr>
                <w:sz w:val="20"/>
                <w:szCs w:val="20"/>
              </w:rPr>
            </w:pPr>
            <w:r w:rsidRPr="00A655BE">
              <w:rPr>
                <w:sz w:val="20"/>
                <w:szCs w:val="20"/>
              </w:rPr>
              <w:t>25–70</w:t>
            </w:r>
            <w:r w:rsidR="006443C2" w:rsidRPr="00A655BE">
              <w:rPr>
                <w:sz w:val="20"/>
                <w:szCs w:val="20"/>
              </w:rPr>
              <w:t>°</w:t>
            </w:r>
            <w:r w:rsidRPr="00A655BE">
              <w:rPr>
                <w:sz w:val="20"/>
                <w:szCs w:val="20"/>
              </w:rPr>
              <w:t>N</w:t>
            </w:r>
          </w:p>
          <w:p w14:paraId="75404ACD" w14:textId="26A295D1" w:rsidR="00577A16" w:rsidRPr="00A655BE" w:rsidRDefault="00577A16" w:rsidP="00577A16">
            <w:pPr>
              <w:jc w:val="center"/>
              <w:rPr>
                <w:sz w:val="20"/>
                <w:szCs w:val="20"/>
              </w:rPr>
            </w:pPr>
            <w:r w:rsidRPr="00A655BE">
              <w:rPr>
                <w:sz w:val="20"/>
                <w:szCs w:val="20"/>
              </w:rPr>
              <w:t>90–30</w:t>
            </w:r>
            <w:r w:rsidR="006443C2" w:rsidRPr="00A655BE">
              <w:rPr>
                <w:sz w:val="20"/>
                <w:szCs w:val="20"/>
              </w:rPr>
              <w:t>°</w:t>
            </w:r>
            <w:r w:rsidRPr="00A655BE">
              <w:rPr>
                <w:sz w:val="20"/>
                <w:szCs w:val="20"/>
              </w:rPr>
              <w:t>W</w:t>
            </w:r>
          </w:p>
        </w:tc>
        <w:tc>
          <w:tcPr>
            <w:tcW w:w="2152" w:type="dxa"/>
            <w:vMerge/>
          </w:tcPr>
          <w:p w14:paraId="3E82835F" w14:textId="77777777" w:rsidR="00577A16" w:rsidRPr="00A655BE" w:rsidRDefault="00577A16" w:rsidP="00577A16">
            <w:pPr>
              <w:jc w:val="center"/>
              <w:rPr>
                <w:sz w:val="20"/>
                <w:szCs w:val="20"/>
              </w:rPr>
            </w:pPr>
          </w:p>
        </w:tc>
        <w:tc>
          <w:tcPr>
            <w:tcW w:w="1713" w:type="dxa"/>
            <w:vMerge/>
          </w:tcPr>
          <w:p w14:paraId="52CE3E14" w14:textId="77777777" w:rsidR="00577A16" w:rsidRPr="00A655BE" w:rsidRDefault="00577A16" w:rsidP="00577A16">
            <w:pPr>
              <w:jc w:val="center"/>
              <w:rPr>
                <w:sz w:val="20"/>
                <w:szCs w:val="20"/>
              </w:rPr>
            </w:pPr>
          </w:p>
        </w:tc>
      </w:tr>
      <w:tr w:rsidR="00577A16" w14:paraId="3A8EB388" w14:textId="4D30652C" w:rsidTr="00577A16">
        <w:trPr>
          <w:trHeight w:val="20"/>
        </w:trPr>
        <w:tc>
          <w:tcPr>
            <w:tcW w:w="2155" w:type="dxa"/>
            <w:vMerge/>
          </w:tcPr>
          <w:p w14:paraId="1441C8B4" w14:textId="77777777" w:rsidR="00577A16" w:rsidRPr="00A655BE" w:rsidRDefault="00577A16" w:rsidP="00577A16">
            <w:pPr>
              <w:jc w:val="center"/>
              <w:rPr>
                <w:sz w:val="20"/>
                <w:szCs w:val="20"/>
              </w:rPr>
            </w:pPr>
          </w:p>
        </w:tc>
        <w:tc>
          <w:tcPr>
            <w:tcW w:w="1890" w:type="dxa"/>
          </w:tcPr>
          <w:p w14:paraId="3ABD54B8" w14:textId="0F8A3B35" w:rsidR="00577A16" w:rsidRPr="00A655BE" w:rsidRDefault="00577A16" w:rsidP="00577A16">
            <w:pPr>
              <w:rPr>
                <w:sz w:val="20"/>
                <w:szCs w:val="20"/>
              </w:rPr>
            </w:pPr>
            <w:r w:rsidRPr="00A655BE">
              <w:rPr>
                <w:sz w:val="20"/>
                <w:szCs w:val="20"/>
              </w:rPr>
              <w:t>West Subtropical</w:t>
            </w:r>
          </w:p>
        </w:tc>
        <w:tc>
          <w:tcPr>
            <w:tcW w:w="1440" w:type="dxa"/>
          </w:tcPr>
          <w:p w14:paraId="11ED02FB" w14:textId="0D041DA2" w:rsidR="00577A16" w:rsidRPr="00A655BE" w:rsidRDefault="00577A16" w:rsidP="00577A16">
            <w:pPr>
              <w:jc w:val="center"/>
              <w:rPr>
                <w:sz w:val="20"/>
                <w:szCs w:val="20"/>
              </w:rPr>
            </w:pPr>
            <w:r w:rsidRPr="00A655BE">
              <w:rPr>
                <w:sz w:val="20"/>
                <w:szCs w:val="20"/>
              </w:rPr>
              <w:t>20–55</w:t>
            </w:r>
            <w:r w:rsidR="006443C2" w:rsidRPr="00A655BE">
              <w:rPr>
                <w:sz w:val="20"/>
                <w:szCs w:val="20"/>
              </w:rPr>
              <w:t>°</w:t>
            </w:r>
            <w:r w:rsidRPr="00A655BE">
              <w:rPr>
                <w:sz w:val="20"/>
                <w:szCs w:val="20"/>
              </w:rPr>
              <w:t>N</w:t>
            </w:r>
          </w:p>
          <w:p w14:paraId="0C67DA95" w14:textId="5C13BEFC" w:rsidR="00577A16" w:rsidRPr="00A655BE" w:rsidRDefault="00577A16" w:rsidP="00577A16">
            <w:pPr>
              <w:jc w:val="center"/>
              <w:rPr>
                <w:sz w:val="20"/>
                <w:szCs w:val="20"/>
              </w:rPr>
            </w:pPr>
            <w:r w:rsidRPr="00A655BE">
              <w:rPr>
                <w:sz w:val="20"/>
                <w:szCs w:val="20"/>
              </w:rPr>
              <w:t>150–90</w:t>
            </w:r>
            <w:r w:rsidR="006443C2" w:rsidRPr="00A655BE">
              <w:rPr>
                <w:sz w:val="20"/>
                <w:szCs w:val="20"/>
              </w:rPr>
              <w:t>°</w:t>
            </w:r>
            <w:r w:rsidRPr="00A655BE">
              <w:rPr>
                <w:sz w:val="20"/>
                <w:szCs w:val="20"/>
              </w:rPr>
              <w:t>W</w:t>
            </w:r>
          </w:p>
        </w:tc>
        <w:tc>
          <w:tcPr>
            <w:tcW w:w="2152" w:type="dxa"/>
            <w:vMerge/>
          </w:tcPr>
          <w:p w14:paraId="07394167" w14:textId="77777777" w:rsidR="00577A16" w:rsidRPr="00A655BE" w:rsidRDefault="00577A16" w:rsidP="00577A16">
            <w:pPr>
              <w:jc w:val="center"/>
              <w:rPr>
                <w:sz w:val="20"/>
                <w:szCs w:val="20"/>
              </w:rPr>
            </w:pPr>
          </w:p>
        </w:tc>
        <w:tc>
          <w:tcPr>
            <w:tcW w:w="1713" w:type="dxa"/>
            <w:vMerge/>
          </w:tcPr>
          <w:p w14:paraId="54A63601" w14:textId="77777777" w:rsidR="00577A16" w:rsidRPr="00A655BE" w:rsidRDefault="00577A16" w:rsidP="00577A16">
            <w:pPr>
              <w:jc w:val="center"/>
              <w:rPr>
                <w:sz w:val="20"/>
                <w:szCs w:val="20"/>
              </w:rPr>
            </w:pPr>
          </w:p>
        </w:tc>
      </w:tr>
      <w:tr w:rsidR="00577A16" w14:paraId="754FF0D1" w14:textId="0772A938" w:rsidTr="00577A16">
        <w:trPr>
          <w:trHeight w:val="20"/>
        </w:trPr>
        <w:tc>
          <w:tcPr>
            <w:tcW w:w="2155" w:type="dxa"/>
          </w:tcPr>
          <w:p w14:paraId="59DED8F7" w14:textId="0088A5C2" w:rsidR="00577A16" w:rsidRDefault="00577A16" w:rsidP="00577A16">
            <w:pPr>
              <w:jc w:val="center"/>
              <w:rPr>
                <w:sz w:val="20"/>
                <w:szCs w:val="20"/>
              </w:rPr>
            </w:pPr>
            <w:r w:rsidRPr="00A655BE">
              <w:rPr>
                <w:sz w:val="20"/>
                <w:szCs w:val="20"/>
              </w:rPr>
              <w:t>Residual</w:t>
            </w:r>
            <w:r w:rsidR="00403AC6">
              <w:rPr>
                <w:sz w:val="20"/>
                <w:szCs w:val="20"/>
              </w:rPr>
              <w:t xml:space="preserve"> </w:t>
            </w:r>
            <w:r w:rsidRPr="00A655BE">
              <w:rPr>
                <w:sz w:val="20"/>
                <w:szCs w:val="20"/>
              </w:rPr>
              <w:t>QGPV Anomalies</w:t>
            </w:r>
          </w:p>
          <w:p w14:paraId="27FC589A" w14:textId="33E72FE8" w:rsidR="00EF2410" w:rsidRPr="00A655BE" w:rsidRDefault="00EF2410" w:rsidP="00577A16">
            <w:pPr>
              <w:jc w:val="center"/>
              <w:rPr>
                <w:sz w:val="20"/>
                <w:szCs w:val="20"/>
              </w:rPr>
            </w:pPr>
            <m:oMath>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res</m:t>
                  </m:r>
                </m:sub>
              </m:sSub>
            </m:oMath>
            <w:r>
              <w:t>)</w:t>
            </w:r>
          </w:p>
          <w:p w14:paraId="7136B666" w14:textId="185F3637" w:rsidR="00577A16" w:rsidRPr="00A655BE" w:rsidRDefault="00577A16" w:rsidP="00577A16">
            <w:pPr>
              <w:jc w:val="center"/>
              <w:rPr>
                <w:sz w:val="20"/>
                <w:szCs w:val="20"/>
              </w:rPr>
            </w:pPr>
          </w:p>
        </w:tc>
        <w:tc>
          <w:tcPr>
            <w:tcW w:w="1890" w:type="dxa"/>
          </w:tcPr>
          <w:p w14:paraId="5B00581F" w14:textId="264380CA" w:rsidR="00577A16" w:rsidRPr="00A655BE" w:rsidRDefault="00577A16" w:rsidP="00577A16">
            <w:pPr>
              <w:rPr>
                <w:sz w:val="20"/>
                <w:szCs w:val="20"/>
              </w:rPr>
            </w:pPr>
            <w:r w:rsidRPr="00A655BE">
              <w:rPr>
                <w:sz w:val="20"/>
                <w:szCs w:val="20"/>
              </w:rPr>
              <w:t>All Event Types</w:t>
            </w:r>
          </w:p>
        </w:tc>
        <w:tc>
          <w:tcPr>
            <w:tcW w:w="1440" w:type="dxa"/>
          </w:tcPr>
          <w:p w14:paraId="080F9B24" w14:textId="77777777" w:rsidR="00577A16" w:rsidRDefault="00546BE8" w:rsidP="00577A16">
            <w:pPr>
              <w:jc w:val="center"/>
              <w:rPr>
                <w:sz w:val="20"/>
                <w:szCs w:val="20"/>
              </w:rPr>
            </w:pPr>
            <w:r>
              <w:rPr>
                <w:sz w:val="20"/>
                <w:szCs w:val="20"/>
              </w:rPr>
              <w:t>10–80</w:t>
            </w:r>
            <w:r w:rsidRPr="00A655BE">
              <w:rPr>
                <w:sz w:val="20"/>
                <w:szCs w:val="20"/>
              </w:rPr>
              <w:t>°N</w:t>
            </w:r>
          </w:p>
          <w:p w14:paraId="37417AD9" w14:textId="350D1593" w:rsidR="00546BE8" w:rsidRPr="00A655BE" w:rsidRDefault="00546BE8" w:rsidP="00577A16">
            <w:pPr>
              <w:jc w:val="center"/>
              <w:rPr>
                <w:sz w:val="20"/>
                <w:szCs w:val="20"/>
              </w:rPr>
            </w:pPr>
            <w:r>
              <w:rPr>
                <w:sz w:val="20"/>
                <w:szCs w:val="20"/>
              </w:rPr>
              <w:t>150</w:t>
            </w:r>
            <w:r w:rsidRPr="00A655BE">
              <w:rPr>
                <w:sz w:val="20"/>
                <w:szCs w:val="20"/>
              </w:rPr>
              <w:t>°</w:t>
            </w:r>
            <w:r>
              <w:rPr>
                <w:sz w:val="20"/>
                <w:szCs w:val="20"/>
              </w:rPr>
              <w:t>E–10</w:t>
            </w:r>
            <w:r w:rsidRPr="00A655BE">
              <w:rPr>
                <w:sz w:val="20"/>
                <w:szCs w:val="20"/>
              </w:rPr>
              <w:t>°</w:t>
            </w:r>
            <w:r>
              <w:rPr>
                <w:sz w:val="20"/>
                <w:szCs w:val="20"/>
              </w:rPr>
              <w:t>W</w:t>
            </w:r>
          </w:p>
        </w:tc>
        <w:tc>
          <w:tcPr>
            <w:tcW w:w="2152" w:type="dxa"/>
          </w:tcPr>
          <w:p w14:paraId="6612ABA6" w14:textId="31028348" w:rsidR="00577A16" w:rsidRPr="00A655BE" w:rsidRDefault="00403AC6" w:rsidP="00577A16">
            <w:pPr>
              <w:jc w:val="center"/>
              <w:rPr>
                <w:sz w:val="20"/>
                <w:szCs w:val="20"/>
              </w:rPr>
            </w:pPr>
            <w:r>
              <w:rPr>
                <w:sz w:val="20"/>
                <w:szCs w:val="20"/>
              </w:rPr>
              <w:t xml:space="preserve">All </w:t>
            </w:r>
            <m:oMath>
              <m:r>
                <w:rPr>
                  <w:rFonts w:ascii="Cambria Math" w:hAnsi="Cambria Math"/>
                  <w:sz w:val="20"/>
                  <w:szCs w:val="20"/>
                </w:rPr>
                <m:t xml:space="preserve">q' </m:t>
              </m:r>
            </m:oMath>
            <w:r w:rsidR="00DF114C">
              <w:rPr>
                <w:sz w:val="20"/>
                <w:szCs w:val="20"/>
              </w:rPr>
              <w:t>in the</w:t>
            </w:r>
            <w:r w:rsidR="00577A16" w:rsidRPr="00A655BE">
              <w:rPr>
                <w:sz w:val="20"/>
                <w:szCs w:val="20"/>
              </w:rPr>
              <w:t xml:space="preserve"> 700–50</w:t>
            </w:r>
            <w:r w:rsidR="00451A09">
              <w:rPr>
                <w:sz w:val="20"/>
                <w:szCs w:val="20"/>
              </w:rPr>
              <w:t>-</w:t>
            </w:r>
            <w:r w:rsidR="00577A16" w:rsidRPr="00A655BE">
              <w:rPr>
                <w:sz w:val="20"/>
                <w:szCs w:val="20"/>
              </w:rPr>
              <w:t xml:space="preserve"> hPa</w:t>
            </w:r>
            <w:r w:rsidR="00DF114C">
              <w:rPr>
                <w:sz w:val="20"/>
                <w:szCs w:val="20"/>
              </w:rPr>
              <w:t xml:space="preserve"> layer</w:t>
            </w:r>
            <w:r>
              <w:rPr>
                <w:sz w:val="20"/>
                <w:szCs w:val="20"/>
              </w:rPr>
              <w:t>,</w:t>
            </w:r>
            <w:r w:rsidR="00577A16" w:rsidRPr="00A655BE">
              <w:rPr>
                <w:sz w:val="20"/>
                <w:szCs w:val="20"/>
              </w:rPr>
              <w:t xml:space="preserve"> excluding </w:t>
            </w:r>
            <w:r>
              <w:rPr>
                <w:sz w:val="20"/>
                <w:szCs w:val="20"/>
              </w:rPr>
              <w:t>polar cyclonic</w:t>
            </w:r>
            <w:r w:rsidR="00577A16" w:rsidRPr="00A655BE">
              <w:rPr>
                <w:sz w:val="20"/>
                <w:szCs w:val="20"/>
              </w:rPr>
              <w:t xml:space="preserve"> and </w:t>
            </w:r>
            <w:r>
              <w:rPr>
                <w:sz w:val="20"/>
                <w:szCs w:val="20"/>
              </w:rPr>
              <w:t>tropical anticyclonic</w:t>
            </w:r>
            <w:r w:rsidR="00577A16" w:rsidRPr="00A655BE">
              <w:rPr>
                <w:sz w:val="20"/>
                <w:szCs w:val="20"/>
              </w:rPr>
              <w:t xml:space="preserve"> QGPV anomalies</w:t>
            </w:r>
          </w:p>
        </w:tc>
        <w:tc>
          <w:tcPr>
            <w:tcW w:w="1713" w:type="dxa"/>
          </w:tcPr>
          <w:p w14:paraId="54D28F8D" w14:textId="35D4645A" w:rsidR="00577A16" w:rsidRPr="00A655BE" w:rsidRDefault="009E1776" w:rsidP="00577A16">
            <w:pPr>
              <w:jc w:val="center"/>
              <w:rPr>
                <w:sz w:val="20"/>
                <w:szCs w:val="20"/>
              </w:rPr>
            </w:pPr>
            <m:oMath>
              <m:sSub>
                <m:sSubPr>
                  <m:ctrlPr>
                    <w:rPr>
                      <w:rFonts w:ascii="Cambria Math" w:hAnsi="Cambria Math"/>
                      <w:i/>
                      <w:sz w:val="20"/>
                      <w:szCs w:val="20"/>
                    </w:rPr>
                  </m:ctrlPr>
                </m:sSubPr>
                <m:e>
                  <m:r>
                    <w:rPr>
                      <w:rFonts w:ascii="Cambria Math" w:hAnsi="Cambria Math"/>
                      <w:sz w:val="20"/>
                      <w:szCs w:val="20"/>
                    </w:rPr>
                    <m:t>ϕ</m:t>
                  </m:r>
                </m:e>
                <m:sub>
                  <m:r>
                    <w:rPr>
                      <w:rFonts w:ascii="Cambria Math" w:hAnsi="Cambria Math"/>
                      <w:sz w:val="20"/>
                      <w:szCs w:val="20"/>
                    </w:rPr>
                    <m:t>i</m:t>
                  </m:r>
                </m:sub>
              </m:sSub>
              <m:r>
                <w:rPr>
                  <w:rFonts w:ascii="Cambria Math" w:hAnsi="Cambria Math"/>
                  <w:sz w:val="20"/>
                  <w:szCs w:val="20"/>
                </w:rPr>
                <m:t>'</m:t>
              </m:r>
            </m:oMath>
            <w:r w:rsidR="00577A16" w:rsidRPr="00A655BE">
              <w:rPr>
                <w:sz w:val="20"/>
                <w:szCs w:val="20"/>
              </w:rPr>
              <w:t xml:space="preserve"> = </w:t>
            </w:r>
            <m:oMath>
              <m:r>
                <w:rPr>
                  <w:rFonts w:ascii="Cambria Math" w:hAnsi="Cambria Math"/>
                  <w:sz w:val="20"/>
                  <w:szCs w:val="20"/>
                </w:rPr>
                <m:t>ϕ-</m:t>
              </m:r>
              <m:sSub>
                <m:sSubPr>
                  <m:ctrlPr>
                    <w:rPr>
                      <w:rFonts w:ascii="Cambria Math" w:hAnsi="Cambria Math"/>
                      <w:i/>
                      <w:sz w:val="20"/>
                      <w:szCs w:val="20"/>
                    </w:rPr>
                  </m:ctrlPr>
                </m:sSubPr>
                <m:e>
                  <m:r>
                    <w:rPr>
                      <w:rFonts w:ascii="Cambria Math" w:hAnsi="Cambria Math"/>
                      <w:sz w:val="20"/>
                      <w:szCs w:val="20"/>
                    </w:rPr>
                    <m:t>ϕ</m:t>
                  </m:r>
                </m:e>
                <m:sub>
                  <m:r>
                    <w:rPr>
                      <w:rFonts w:ascii="Cambria Math" w:hAnsi="Cambria Math"/>
                      <w:sz w:val="20"/>
                      <w:szCs w:val="20"/>
                    </w:rPr>
                    <m:t>m</m:t>
                  </m:r>
                </m:sub>
              </m:sSub>
            </m:oMath>
            <w:r w:rsidR="00577A16" w:rsidRPr="00A655BE">
              <w:rPr>
                <w:sz w:val="20"/>
                <w:szCs w:val="20"/>
              </w:rPr>
              <w:t xml:space="preserve"> on all lateral and horizontal boundaries</w:t>
            </w:r>
            <w:r w:rsidR="007E7CCB">
              <w:rPr>
                <w:sz w:val="20"/>
                <w:szCs w:val="20"/>
              </w:rPr>
              <w:t xml:space="preserve"> at and</w:t>
            </w:r>
            <w:r w:rsidR="00577A16" w:rsidRPr="00A655BE">
              <w:rPr>
                <w:sz w:val="20"/>
                <w:szCs w:val="20"/>
              </w:rPr>
              <w:t xml:space="preserve"> above 700 hPa</w:t>
            </w:r>
            <w:r w:rsidR="00403AC6">
              <w:rPr>
                <w:sz w:val="20"/>
                <w:szCs w:val="20"/>
              </w:rPr>
              <w:t xml:space="preserve">. </w:t>
            </w:r>
            <m:oMath>
              <m:sSub>
                <m:sSubPr>
                  <m:ctrlPr>
                    <w:rPr>
                      <w:rFonts w:ascii="Cambria Math" w:hAnsi="Cambria Math"/>
                      <w:i/>
                      <w:sz w:val="20"/>
                      <w:szCs w:val="20"/>
                    </w:rPr>
                  </m:ctrlPr>
                </m:sSubPr>
                <m:e>
                  <m:r>
                    <w:rPr>
                      <w:rFonts w:ascii="Cambria Math" w:hAnsi="Cambria Math"/>
                      <w:sz w:val="20"/>
                      <w:szCs w:val="20"/>
                    </w:rPr>
                    <m:t>ϕ</m:t>
                  </m:r>
                </m:e>
                <m:sub>
                  <m:r>
                    <w:rPr>
                      <w:rFonts w:ascii="Cambria Math" w:hAnsi="Cambria Math"/>
                      <w:sz w:val="20"/>
                      <w:szCs w:val="20"/>
                    </w:rPr>
                    <m:t>i</m:t>
                  </m:r>
                </m:sub>
              </m:sSub>
              <m:r>
                <w:rPr>
                  <w:rFonts w:ascii="Cambria Math" w:hAnsi="Cambria Math"/>
                  <w:sz w:val="20"/>
                  <w:szCs w:val="20"/>
                </w:rPr>
                <m:t>'</m:t>
              </m:r>
            </m:oMath>
            <w:r w:rsidR="00C643B6" w:rsidRPr="00A655BE">
              <w:rPr>
                <w:sz w:val="20"/>
                <w:szCs w:val="20"/>
              </w:rPr>
              <w:t xml:space="preserve"> =</w:t>
            </w:r>
            <w:r w:rsidR="00577A16" w:rsidRPr="00A655BE">
              <w:rPr>
                <w:sz w:val="20"/>
                <w:szCs w:val="20"/>
              </w:rPr>
              <w:t xml:space="preserve"> 0 below 700 hPa</w:t>
            </w:r>
          </w:p>
        </w:tc>
      </w:tr>
      <w:tr w:rsidR="00577A16" w14:paraId="31071778" w14:textId="2CD9F5A2" w:rsidTr="00577A16">
        <w:trPr>
          <w:trHeight w:val="20"/>
        </w:trPr>
        <w:tc>
          <w:tcPr>
            <w:tcW w:w="2155" w:type="dxa"/>
          </w:tcPr>
          <w:p w14:paraId="0806921B" w14:textId="77777777" w:rsidR="00577A16" w:rsidRDefault="00577A16" w:rsidP="00577A16">
            <w:pPr>
              <w:jc w:val="center"/>
              <w:rPr>
                <w:sz w:val="20"/>
                <w:szCs w:val="20"/>
              </w:rPr>
            </w:pPr>
            <w:r w:rsidRPr="00A655BE">
              <w:rPr>
                <w:sz w:val="20"/>
                <w:szCs w:val="20"/>
              </w:rPr>
              <w:t>Lower-Tropospheric QGPV Anomalies</w:t>
            </w:r>
          </w:p>
          <w:p w14:paraId="0DF005EB" w14:textId="1D111007" w:rsidR="00EF2410" w:rsidRPr="00A655BE" w:rsidRDefault="00EF2410" w:rsidP="00577A16">
            <w:pPr>
              <w:jc w:val="center"/>
              <w:rPr>
                <w:sz w:val="20"/>
                <w:szCs w:val="20"/>
              </w:rPr>
            </w:pPr>
            <m:oMath>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lt</m:t>
                  </m:r>
                </m:sub>
              </m:sSub>
            </m:oMath>
            <w:r>
              <w:t>)</w:t>
            </w:r>
          </w:p>
        </w:tc>
        <w:tc>
          <w:tcPr>
            <w:tcW w:w="1890" w:type="dxa"/>
          </w:tcPr>
          <w:p w14:paraId="4C1FCAD5" w14:textId="432EC900" w:rsidR="00577A16" w:rsidRPr="00A655BE" w:rsidRDefault="00577A16" w:rsidP="00577A16">
            <w:pPr>
              <w:rPr>
                <w:sz w:val="20"/>
                <w:szCs w:val="20"/>
              </w:rPr>
            </w:pPr>
            <w:r w:rsidRPr="00A655BE">
              <w:rPr>
                <w:sz w:val="20"/>
                <w:szCs w:val="20"/>
              </w:rPr>
              <w:t>All Event Types</w:t>
            </w:r>
          </w:p>
        </w:tc>
        <w:tc>
          <w:tcPr>
            <w:tcW w:w="1440" w:type="dxa"/>
          </w:tcPr>
          <w:p w14:paraId="77652269" w14:textId="77777777" w:rsidR="00546BE8" w:rsidRDefault="00546BE8" w:rsidP="00546BE8">
            <w:pPr>
              <w:jc w:val="center"/>
              <w:rPr>
                <w:sz w:val="20"/>
                <w:szCs w:val="20"/>
              </w:rPr>
            </w:pPr>
            <w:r>
              <w:rPr>
                <w:sz w:val="20"/>
                <w:szCs w:val="20"/>
              </w:rPr>
              <w:t>10–80</w:t>
            </w:r>
            <w:r w:rsidRPr="00A655BE">
              <w:rPr>
                <w:sz w:val="20"/>
                <w:szCs w:val="20"/>
              </w:rPr>
              <w:t>°N</w:t>
            </w:r>
          </w:p>
          <w:p w14:paraId="7AB52BA3" w14:textId="7DE60E40" w:rsidR="00577A16" w:rsidRPr="00A655BE" w:rsidRDefault="00546BE8" w:rsidP="00546BE8">
            <w:pPr>
              <w:jc w:val="center"/>
              <w:rPr>
                <w:sz w:val="20"/>
                <w:szCs w:val="20"/>
              </w:rPr>
            </w:pPr>
            <w:r>
              <w:rPr>
                <w:sz w:val="20"/>
                <w:szCs w:val="20"/>
              </w:rPr>
              <w:t>150</w:t>
            </w:r>
            <w:r w:rsidRPr="00A655BE">
              <w:rPr>
                <w:sz w:val="20"/>
                <w:szCs w:val="20"/>
              </w:rPr>
              <w:t>°</w:t>
            </w:r>
            <w:r>
              <w:rPr>
                <w:sz w:val="20"/>
                <w:szCs w:val="20"/>
              </w:rPr>
              <w:t>E–10</w:t>
            </w:r>
            <w:r w:rsidRPr="00A655BE">
              <w:rPr>
                <w:sz w:val="20"/>
                <w:szCs w:val="20"/>
              </w:rPr>
              <w:t>°</w:t>
            </w:r>
            <w:r>
              <w:rPr>
                <w:sz w:val="20"/>
                <w:szCs w:val="20"/>
              </w:rPr>
              <w:t>W</w:t>
            </w:r>
          </w:p>
        </w:tc>
        <w:tc>
          <w:tcPr>
            <w:tcW w:w="2152" w:type="dxa"/>
          </w:tcPr>
          <w:p w14:paraId="75D8BAE1" w14:textId="069166FC" w:rsidR="00577A16" w:rsidRPr="00A655BE" w:rsidRDefault="00577A16" w:rsidP="00577A16">
            <w:pPr>
              <w:jc w:val="center"/>
              <w:rPr>
                <w:sz w:val="20"/>
                <w:szCs w:val="20"/>
              </w:rPr>
            </w:pPr>
            <w:r w:rsidRPr="00A655BE">
              <w:rPr>
                <w:sz w:val="20"/>
                <w:szCs w:val="20"/>
              </w:rPr>
              <w:t xml:space="preserve">All </w:t>
            </w:r>
            <m:oMath>
              <m:r>
                <w:rPr>
                  <w:rFonts w:ascii="Cambria Math" w:hAnsi="Cambria Math"/>
                  <w:sz w:val="20"/>
                  <w:szCs w:val="20"/>
                </w:rPr>
                <m:t>q'</m:t>
              </m:r>
            </m:oMath>
            <w:r w:rsidR="00465174">
              <w:rPr>
                <w:sz w:val="20"/>
                <w:szCs w:val="20"/>
              </w:rPr>
              <w:t xml:space="preserve"> </w:t>
            </w:r>
            <w:r w:rsidR="00DF114C">
              <w:rPr>
                <w:sz w:val="20"/>
                <w:szCs w:val="20"/>
              </w:rPr>
              <w:t>in the</w:t>
            </w:r>
            <w:r w:rsidRPr="00A655BE">
              <w:rPr>
                <w:sz w:val="20"/>
                <w:szCs w:val="20"/>
              </w:rPr>
              <w:t xml:space="preserve"> 1000–750</w:t>
            </w:r>
            <w:r w:rsidR="00451A09">
              <w:rPr>
                <w:sz w:val="20"/>
                <w:szCs w:val="20"/>
              </w:rPr>
              <w:t>-</w:t>
            </w:r>
            <w:r w:rsidRPr="00A655BE">
              <w:rPr>
                <w:sz w:val="20"/>
                <w:szCs w:val="20"/>
              </w:rPr>
              <w:t>hPa</w:t>
            </w:r>
            <w:r w:rsidR="00DF114C">
              <w:rPr>
                <w:sz w:val="20"/>
                <w:szCs w:val="20"/>
              </w:rPr>
              <w:t xml:space="preserve"> layer</w:t>
            </w:r>
          </w:p>
          <w:p w14:paraId="1357F963" w14:textId="123E29DD" w:rsidR="00577A16" w:rsidRPr="00A655BE" w:rsidRDefault="00577A16" w:rsidP="00577A16">
            <w:pPr>
              <w:jc w:val="center"/>
              <w:rPr>
                <w:sz w:val="20"/>
                <w:szCs w:val="20"/>
              </w:rPr>
            </w:pPr>
          </w:p>
        </w:tc>
        <w:tc>
          <w:tcPr>
            <w:tcW w:w="1713" w:type="dxa"/>
          </w:tcPr>
          <w:p w14:paraId="40B1006C" w14:textId="57F8A261" w:rsidR="00577A16" w:rsidRPr="00A655BE" w:rsidRDefault="009E1776" w:rsidP="00577A16">
            <w:pPr>
              <w:jc w:val="center"/>
              <w:rPr>
                <w:sz w:val="20"/>
                <w:szCs w:val="20"/>
              </w:rPr>
            </w:pPr>
            <m:oMath>
              <m:sSubSup>
                <m:sSubSupPr>
                  <m:ctrlPr>
                    <w:rPr>
                      <w:rFonts w:ascii="Cambria Math" w:hAnsi="Cambria Math"/>
                      <w:i/>
                      <w:sz w:val="20"/>
                      <w:szCs w:val="20"/>
                    </w:rPr>
                  </m:ctrlPr>
                </m:sSubSupPr>
                <m:e>
                  <m:r>
                    <w:rPr>
                      <w:rFonts w:ascii="Cambria Math" w:hAnsi="Cambria Math"/>
                      <w:sz w:val="20"/>
                      <w:szCs w:val="20"/>
                    </w:rPr>
                    <m:t>ϕ</m:t>
                  </m:r>
                </m:e>
                <m:sub>
                  <m:r>
                    <w:rPr>
                      <w:rFonts w:ascii="Cambria Math" w:hAnsi="Cambria Math"/>
                      <w:sz w:val="20"/>
                      <w:szCs w:val="20"/>
                    </w:rPr>
                    <m:t>i</m:t>
                  </m:r>
                </m:sub>
                <m:sup>
                  <m:r>
                    <w:rPr>
                      <w:rFonts w:ascii="Cambria Math" w:hAnsi="Cambria Math"/>
                      <w:sz w:val="20"/>
                      <w:szCs w:val="20"/>
                    </w:rPr>
                    <m:t>'</m:t>
                  </m:r>
                </m:sup>
              </m:sSubSup>
              <m:r>
                <w:rPr>
                  <w:rFonts w:ascii="Cambria Math" w:hAnsi="Cambria Math"/>
                  <w:sz w:val="20"/>
                  <w:szCs w:val="20"/>
                </w:rPr>
                <m:t>=</m:t>
              </m:r>
            </m:oMath>
            <w:r w:rsidR="00577A16" w:rsidRPr="00A655BE">
              <w:rPr>
                <w:sz w:val="20"/>
                <w:szCs w:val="20"/>
              </w:rPr>
              <w:t xml:space="preserve"> </w:t>
            </w:r>
            <m:oMath>
              <m:r>
                <w:rPr>
                  <w:rFonts w:ascii="Cambria Math" w:hAnsi="Cambria Math"/>
                  <w:sz w:val="20"/>
                  <w:szCs w:val="20"/>
                </w:rPr>
                <m:t>ϕ-</m:t>
              </m:r>
              <m:sSub>
                <m:sSubPr>
                  <m:ctrlPr>
                    <w:rPr>
                      <w:rFonts w:ascii="Cambria Math" w:hAnsi="Cambria Math"/>
                      <w:i/>
                      <w:sz w:val="20"/>
                      <w:szCs w:val="20"/>
                    </w:rPr>
                  </m:ctrlPr>
                </m:sSubPr>
                <m:e>
                  <m:r>
                    <w:rPr>
                      <w:rFonts w:ascii="Cambria Math" w:hAnsi="Cambria Math"/>
                      <w:sz w:val="20"/>
                      <w:szCs w:val="20"/>
                    </w:rPr>
                    <m:t>ϕ</m:t>
                  </m:r>
                </m:e>
                <m:sub>
                  <m:r>
                    <w:rPr>
                      <w:rFonts w:ascii="Cambria Math" w:hAnsi="Cambria Math"/>
                      <w:sz w:val="20"/>
                      <w:szCs w:val="20"/>
                    </w:rPr>
                    <m:t>m</m:t>
                  </m:r>
                </m:sub>
              </m:sSub>
            </m:oMath>
            <w:r w:rsidR="00577A16" w:rsidRPr="00A655BE">
              <w:rPr>
                <w:sz w:val="20"/>
                <w:szCs w:val="20"/>
              </w:rPr>
              <w:t xml:space="preserve"> on all lateral and horizontal boundaries below 7</w:t>
            </w:r>
            <w:r w:rsidR="007E7CCB">
              <w:rPr>
                <w:sz w:val="20"/>
                <w:szCs w:val="20"/>
              </w:rPr>
              <w:t>0</w:t>
            </w:r>
            <w:r w:rsidR="00577A16" w:rsidRPr="00A655BE">
              <w:rPr>
                <w:sz w:val="20"/>
                <w:szCs w:val="20"/>
              </w:rPr>
              <w:t>0 hPa</w:t>
            </w:r>
            <w:r w:rsidR="007E7CCB">
              <w:rPr>
                <w:sz w:val="20"/>
                <w:szCs w:val="20"/>
              </w:rPr>
              <w:t xml:space="preserve">. </w:t>
            </w:r>
            <m:oMath>
              <m:sSub>
                <m:sSubPr>
                  <m:ctrlPr>
                    <w:rPr>
                      <w:rFonts w:ascii="Cambria Math" w:hAnsi="Cambria Math"/>
                      <w:i/>
                      <w:sz w:val="20"/>
                      <w:szCs w:val="20"/>
                    </w:rPr>
                  </m:ctrlPr>
                </m:sSubPr>
                <m:e>
                  <m:r>
                    <w:rPr>
                      <w:rFonts w:ascii="Cambria Math" w:hAnsi="Cambria Math"/>
                      <w:sz w:val="20"/>
                      <w:szCs w:val="20"/>
                    </w:rPr>
                    <m:t>ϕ</m:t>
                  </m:r>
                </m:e>
                <m:sub>
                  <m:r>
                    <w:rPr>
                      <w:rFonts w:ascii="Cambria Math" w:hAnsi="Cambria Math"/>
                      <w:sz w:val="20"/>
                      <w:szCs w:val="20"/>
                    </w:rPr>
                    <m:t>i</m:t>
                  </m:r>
                </m:sub>
              </m:sSub>
              <m:r>
                <w:rPr>
                  <w:rFonts w:ascii="Cambria Math" w:hAnsi="Cambria Math"/>
                  <w:sz w:val="20"/>
                  <w:szCs w:val="20"/>
                </w:rPr>
                <m:t>'</m:t>
              </m:r>
            </m:oMath>
            <w:r w:rsidR="00C643B6" w:rsidRPr="00A655BE">
              <w:rPr>
                <w:sz w:val="20"/>
                <w:szCs w:val="20"/>
              </w:rPr>
              <w:t xml:space="preserve"> = </w:t>
            </w:r>
            <w:r w:rsidR="00577A16" w:rsidRPr="00A655BE">
              <w:rPr>
                <w:sz w:val="20"/>
                <w:szCs w:val="20"/>
              </w:rPr>
              <w:t xml:space="preserve">0 </w:t>
            </w:r>
            <w:r w:rsidR="007E7CCB">
              <w:rPr>
                <w:sz w:val="20"/>
                <w:szCs w:val="20"/>
              </w:rPr>
              <w:t xml:space="preserve">at and </w:t>
            </w:r>
            <w:r w:rsidR="00577A16" w:rsidRPr="00A655BE">
              <w:rPr>
                <w:sz w:val="20"/>
                <w:szCs w:val="20"/>
              </w:rPr>
              <w:t>above 700 hPa</w:t>
            </w:r>
          </w:p>
        </w:tc>
      </w:tr>
      <w:tr w:rsidR="00577A16" w14:paraId="751884F2" w14:textId="616A0E64" w:rsidTr="00577A16">
        <w:trPr>
          <w:trHeight w:val="20"/>
        </w:trPr>
        <w:tc>
          <w:tcPr>
            <w:tcW w:w="2155" w:type="dxa"/>
          </w:tcPr>
          <w:p w14:paraId="465CF929" w14:textId="32A0A599" w:rsidR="00577A16" w:rsidRDefault="00577A16" w:rsidP="00577A16">
            <w:pPr>
              <w:jc w:val="center"/>
              <w:rPr>
                <w:sz w:val="20"/>
                <w:szCs w:val="20"/>
              </w:rPr>
            </w:pPr>
            <w:r w:rsidRPr="00A655BE">
              <w:rPr>
                <w:sz w:val="20"/>
                <w:szCs w:val="20"/>
              </w:rPr>
              <w:t>Mean QGPV</w:t>
            </w:r>
          </w:p>
          <w:p w14:paraId="57FDBC3E" w14:textId="69B81251" w:rsidR="00EF2410" w:rsidRPr="00A655BE" w:rsidRDefault="00EF2410" w:rsidP="00577A16">
            <w:pPr>
              <w:jc w:val="center"/>
              <w:rPr>
                <w:sz w:val="20"/>
                <w:szCs w:val="20"/>
              </w:rPr>
            </w:pPr>
            <m:oMath>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m</m:t>
                  </m:r>
                </m:sub>
              </m:sSub>
            </m:oMath>
            <w:r>
              <w:t>)</w:t>
            </w:r>
          </w:p>
          <w:p w14:paraId="1BA4FFE6" w14:textId="77777777" w:rsidR="00577A16" w:rsidRPr="00A655BE" w:rsidRDefault="00577A16" w:rsidP="00577A16">
            <w:pPr>
              <w:jc w:val="center"/>
              <w:rPr>
                <w:sz w:val="20"/>
                <w:szCs w:val="20"/>
              </w:rPr>
            </w:pPr>
          </w:p>
          <w:p w14:paraId="452BA625" w14:textId="1ECF8EC6" w:rsidR="00577A16" w:rsidRPr="00A655BE" w:rsidRDefault="00577A16" w:rsidP="00577A16">
            <w:pPr>
              <w:jc w:val="center"/>
              <w:rPr>
                <w:sz w:val="20"/>
                <w:szCs w:val="20"/>
              </w:rPr>
            </w:pPr>
          </w:p>
        </w:tc>
        <w:tc>
          <w:tcPr>
            <w:tcW w:w="1890" w:type="dxa"/>
          </w:tcPr>
          <w:p w14:paraId="3691BC7F" w14:textId="189CF582" w:rsidR="00577A16" w:rsidRPr="00A655BE" w:rsidRDefault="00577A16" w:rsidP="00577A16">
            <w:pPr>
              <w:rPr>
                <w:sz w:val="20"/>
                <w:szCs w:val="20"/>
              </w:rPr>
            </w:pPr>
            <w:r w:rsidRPr="00A655BE">
              <w:rPr>
                <w:sz w:val="20"/>
                <w:szCs w:val="20"/>
              </w:rPr>
              <w:t>All Event Types</w:t>
            </w:r>
          </w:p>
        </w:tc>
        <w:tc>
          <w:tcPr>
            <w:tcW w:w="1440" w:type="dxa"/>
          </w:tcPr>
          <w:p w14:paraId="71851A8B" w14:textId="77777777" w:rsidR="00546BE8" w:rsidRDefault="00546BE8" w:rsidP="00546BE8">
            <w:pPr>
              <w:jc w:val="center"/>
              <w:rPr>
                <w:sz w:val="20"/>
                <w:szCs w:val="20"/>
              </w:rPr>
            </w:pPr>
            <w:r>
              <w:rPr>
                <w:sz w:val="20"/>
                <w:szCs w:val="20"/>
              </w:rPr>
              <w:t>10–80</w:t>
            </w:r>
            <w:r w:rsidRPr="00A655BE">
              <w:rPr>
                <w:sz w:val="20"/>
                <w:szCs w:val="20"/>
              </w:rPr>
              <w:t>°N</w:t>
            </w:r>
          </w:p>
          <w:p w14:paraId="0FF932ED" w14:textId="1A5838D7" w:rsidR="00577A16" w:rsidRPr="00A655BE" w:rsidRDefault="00546BE8" w:rsidP="00546BE8">
            <w:pPr>
              <w:jc w:val="center"/>
              <w:rPr>
                <w:sz w:val="20"/>
                <w:szCs w:val="20"/>
              </w:rPr>
            </w:pPr>
            <w:r>
              <w:rPr>
                <w:sz w:val="20"/>
                <w:szCs w:val="20"/>
              </w:rPr>
              <w:t>150</w:t>
            </w:r>
            <w:r w:rsidRPr="00A655BE">
              <w:rPr>
                <w:sz w:val="20"/>
                <w:szCs w:val="20"/>
              </w:rPr>
              <w:t>°</w:t>
            </w:r>
            <w:r>
              <w:rPr>
                <w:sz w:val="20"/>
                <w:szCs w:val="20"/>
              </w:rPr>
              <w:t>E–10</w:t>
            </w:r>
            <w:r w:rsidRPr="00A655BE">
              <w:rPr>
                <w:sz w:val="20"/>
                <w:szCs w:val="20"/>
              </w:rPr>
              <w:t>°</w:t>
            </w:r>
            <w:r>
              <w:rPr>
                <w:sz w:val="20"/>
                <w:szCs w:val="20"/>
              </w:rPr>
              <w:t>W</w:t>
            </w:r>
          </w:p>
        </w:tc>
        <w:tc>
          <w:tcPr>
            <w:tcW w:w="2152" w:type="dxa"/>
          </w:tcPr>
          <w:p w14:paraId="662358F4" w14:textId="10E4FAF5" w:rsidR="00577A16" w:rsidRPr="00A655BE" w:rsidRDefault="009E1776" w:rsidP="00577A16">
            <w:pPr>
              <w:jc w:val="center"/>
              <w:rPr>
                <w:sz w:val="20"/>
                <w:szCs w:val="20"/>
              </w:rPr>
            </w:pP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oMath>
            <w:r w:rsidR="00925517">
              <w:rPr>
                <w:sz w:val="20"/>
                <w:szCs w:val="20"/>
              </w:rPr>
              <w:t xml:space="preserve"> is</w:t>
            </w:r>
            <w:r w:rsidR="00577A16" w:rsidRPr="00A655BE">
              <w:rPr>
                <w:sz w:val="20"/>
                <w:szCs w:val="20"/>
              </w:rPr>
              <w:t xml:space="preserve"> calculated </w:t>
            </w:r>
            <w:r w:rsidR="00017E03">
              <w:rPr>
                <w:sz w:val="20"/>
                <w:szCs w:val="20"/>
              </w:rPr>
              <w:t xml:space="preserve">using the composite climatological mean geopotential </w:t>
            </w:r>
            <w:r w:rsidR="00AA6997">
              <w:rPr>
                <w:sz w:val="20"/>
                <w:szCs w:val="20"/>
              </w:rPr>
              <w:t>based on</w:t>
            </w:r>
            <w:r w:rsidR="00577A16" w:rsidRPr="00A655BE">
              <w:rPr>
                <w:sz w:val="20"/>
                <w:szCs w:val="20"/>
              </w:rPr>
              <w:t xml:space="preserve"> all</w:t>
            </w:r>
            <w:r w:rsidR="00403AC6">
              <w:rPr>
                <w:sz w:val="20"/>
                <w:szCs w:val="20"/>
              </w:rPr>
              <w:t xml:space="preserve"> days that feature a</w:t>
            </w:r>
            <w:r w:rsidR="00577A16" w:rsidRPr="00A655BE">
              <w:rPr>
                <w:sz w:val="20"/>
                <w:szCs w:val="20"/>
              </w:rPr>
              <w:t xml:space="preserve"> superposition </w:t>
            </w:r>
            <w:r w:rsidR="00403AC6">
              <w:rPr>
                <w:sz w:val="20"/>
                <w:szCs w:val="20"/>
              </w:rPr>
              <w:t>within a particular event type</w:t>
            </w:r>
            <w:r w:rsidR="00577A16" w:rsidRPr="00A655BE">
              <w:rPr>
                <w:sz w:val="20"/>
                <w:szCs w:val="20"/>
              </w:rPr>
              <w:t xml:space="preserve"> </w:t>
            </w:r>
          </w:p>
        </w:tc>
        <w:tc>
          <w:tcPr>
            <w:tcW w:w="1713" w:type="dxa"/>
          </w:tcPr>
          <w:p w14:paraId="3CB70664" w14:textId="03BDAC02" w:rsidR="00577A16" w:rsidRPr="00A655BE" w:rsidRDefault="009E1776" w:rsidP="00577A16">
            <w:pPr>
              <w:jc w:val="center"/>
              <w:rPr>
                <w:rFonts w:ascii="Cambria Math" w:hAnsi="Cambria Math"/>
                <w:i/>
                <w:sz w:val="20"/>
                <w:szCs w:val="20"/>
              </w:rPr>
            </w:pPr>
            <m:oMath>
              <m:sSub>
                <m:sSubPr>
                  <m:ctrlPr>
                    <w:rPr>
                      <w:rFonts w:ascii="Cambria Math" w:hAnsi="Cambria Math"/>
                      <w:i/>
                      <w:sz w:val="20"/>
                      <w:szCs w:val="20"/>
                    </w:rPr>
                  </m:ctrlPr>
                </m:sSubPr>
                <m:e>
                  <m:r>
                    <w:rPr>
                      <w:rFonts w:ascii="Cambria Math" w:hAnsi="Cambria Math"/>
                      <w:sz w:val="20"/>
                      <w:szCs w:val="20"/>
                    </w:rPr>
                    <m:t>ϕ</m:t>
                  </m:r>
                </m:e>
                <m:sub>
                  <m:r>
                    <w:rPr>
                      <w:rFonts w:ascii="Cambria Math" w:hAnsi="Cambria Math"/>
                      <w:sz w:val="20"/>
                      <w:szCs w:val="20"/>
                    </w:rPr>
                    <m:t>m</m:t>
                  </m:r>
                </m:sub>
              </m:sSub>
            </m:oMath>
            <w:r w:rsidR="00925517" w:rsidRPr="00A655BE">
              <w:rPr>
                <w:sz w:val="20"/>
                <w:szCs w:val="20"/>
              </w:rPr>
              <w:t xml:space="preserve"> </w:t>
            </w:r>
            <w:r w:rsidR="00925517">
              <w:rPr>
                <w:sz w:val="20"/>
                <w:szCs w:val="20"/>
              </w:rPr>
              <w:t xml:space="preserve">on all </w:t>
            </w:r>
            <w:r w:rsidR="00577A16" w:rsidRPr="00A655BE">
              <w:rPr>
                <w:sz w:val="20"/>
                <w:szCs w:val="20"/>
              </w:rPr>
              <w:t xml:space="preserve">lateral and horizontal boundaries </w:t>
            </w:r>
          </w:p>
        </w:tc>
      </w:tr>
    </w:tbl>
    <w:p w14:paraId="4D87F91C" w14:textId="7388B43F" w:rsidR="002C4D68" w:rsidRDefault="000426A2" w:rsidP="005D54A4">
      <w:pPr>
        <w:spacing w:line="480" w:lineRule="auto"/>
      </w:pPr>
      <w:r>
        <w:t xml:space="preserve"> </w:t>
      </w:r>
    </w:p>
    <w:p w14:paraId="5E77BB50" w14:textId="577FE8C4" w:rsidR="00A655BE" w:rsidRDefault="00A655BE" w:rsidP="00F64044">
      <w:r w:rsidRPr="00A655BE">
        <w:rPr>
          <w:b/>
        </w:rPr>
        <w:t>TABLE 1</w:t>
      </w:r>
      <w:r>
        <w:t xml:space="preserve">. </w:t>
      </w:r>
      <w:r w:rsidR="00F64044">
        <w:t>T</w:t>
      </w:r>
      <w:r>
        <w:t xml:space="preserve">he </w:t>
      </w:r>
      <w:r w:rsidR="00F64044">
        <w:t>classification scheme used to partition the QGPV during polar</w:t>
      </w:r>
      <w:r w:rsidR="00D22F7D">
        <w:t xml:space="preserve"> dominant</w:t>
      </w:r>
      <w:r w:rsidR="00F64044">
        <w:t>, eastern subtropical</w:t>
      </w:r>
      <w:r w:rsidR="00D22F7D">
        <w:t xml:space="preserve"> dominant</w:t>
      </w:r>
      <w:r w:rsidR="00F64044">
        <w:t>, and western subtropical</w:t>
      </w:r>
      <w:r w:rsidR="00B301FA">
        <w:t xml:space="preserve"> dominant</w:t>
      </w:r>
      <w:r w:rsidR="00F64044">
        <w:t xml:space="preserve"> jet superposition events.</w:t>
      </w:r>
      <w:r w:rsidR="00883368">
        <w:t xml:space="preserve"> The first column lists </w:t>
      </w:r>
      <w:r w:rsidR="00D22F7D">
        <w:t>the category of QGPV and the second column identifies the jet superposition event type.</w:t>
      </w:r>
      <w:r w:rsidR="00300914">
        <w:t xml:space="preserve"> The third column identifies the spatial domain used to isolate each category of QGPV</w:t>
      </w:r>
      <w:r w:rsidR="00B301FA">
        <w:t xml:space="preserve"> as a function of event type</w:t>
      </w:r>
      <w:r w:rsidR="0036066B">
        <w:t xml:space="preserve">. For polar cyclonic and tropical anticyclonic QGPV anomalies, the spatial domain for each event type </w:t>
      </w:r>
      <w:r w:rsidR="00DF3F40">
        <w:t>is referenced in the text as the</w:t>
      </w:r>
      <w:r w:rsidR="0036066B">
        <w:t xml:space="preserve"> </w:t>
      </w:r>
      <w:r w:rsidR="00DF3F40">
        <w:t>“</w:t>
      </w:r>
      <w:r w:rsidR="0036066B">
        <w:t>near-jet environment</w:t>
      </w:r>
      <w:r w:rsidR="0038481F">
        <w:t>.</w:t>
      </w:r>
      <w:r w:rsidR="00DF3F40">
        <w:t>”</w:t>
      </w:r>
      <w:r w:rsidR="00300914">
        <w:t xml:space="preserve"> </w:t>
      </w:r>
      <w:r w:rsidR="0036066B">
        <w:t>T</w:t>
      </w:r>
      <w:r w:rsidR="00300914">
        <w:t xml:space="preserve">he fourth column lists the criteria used to </w:t>
      </w:r>
      <w:r w:rsidR="00815398">
        <w:t>partition the</w:t>
      </w:r>
      <w:r w:rsidR="00300914">
        <w:t xml:space="preserve"> QGPV within the specified</w:t>
      </w:r>
      <w:r w:rsidR="00B301FA">
        <w:t xml:space="preserve"> spatial</w:t>
      </w:r>
      <w:r w:rsidR="00300914">
        <w:t xml:space="preserve"> domain,</w:t>
      </w:r>
      <w:r w:rsidR="00F64044">
        <w:t xml:space="preserve"> </w:t>
      </w:r>
      <w:r w:rsidR="00300914">
        <w:t>and the fifth</w:t>
      </w:r>
      <w:r w:rsidR="00F64044">
        <w:t xml:space="preserve"> column identifies the</w:t>
      </w:r>
      <w:r w:rsidR="00EB4098">
        <w:t xml:space="preserve"> lateral and horizontal</w:t>
      </w:r>
      <w:r w:rsidR="00F64044">
        <w:t xml:space="preserve"> boundary conditions </w:t>
      </w:r>
      <w:r w:rsidR="00B301FA">
        <w:t>used</w:t>
      </w:r>
      <w:r w:rsidR="00F64044">
        <w:t xml:space="preserve"> to invert each category of QGPV for its associated geopotentia</w:t>
      </w:r>
      <w:r w:rsidR="00165476">
        <w:t>l</w:t>
      </w:r>
      <w:r w:rsidR="00F64044">
        <w:t>.</w:t>
      </w:r>
      <w:r w:rsidR="00D22F7D">
        <w:t xml:space="preserve"> The reader is referred to section 3a for explanations of the variables included within the table.</w:t>
      </w:r>
    </w:p>
    <w:p w14:paraId="2CBEC3AB" w14:textId="77777777" w:rsidR="009D4AFF" w:rsidRPr="009D4AFF" w:rsidRDefault="009D4AFF" w:rsidP="00F64044">
      <w:pPr>
        <w:rPr>
          <w:b/>
        </w:rPr>
      </w:pPr>
    </w:p>
    <w:sectPr w:rsidR="009D4AFF" w:rsidRPr="009D4AFF" w:rsidSect="000D57B2">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355CE" w14:textId="77777777" w:rsidR="009E1776" w:rsidRDefault="009E1776" w:rsidP="005F1C61">
      <w:r>
        <w:separator/>
      </w:r>
    </w:p>
  </w:endnote>
  <w:endnote w:type="continuationSeparator" w:id="0">
    <w:p w14:paraId="7ECC1EC0" w14:textId="77777777" w:rsidR="009E1776" w:rsidRDefault="009E1776" w:rsidP="005F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4EB15" w14:textId="77777777" w:rsidR="00D86911" w:rsidRDefault="00D86911" w:rsidP="003D2B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FB5F85" w14:textId="77777777" w:rsidR="00D86911" w:rsidRDefault="00D86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1B90" w14:textId="77777777" w:rsidR="00D86911" w:rsidRPr="003B279F" w:rsidRDefault="00D86911" w:rsidP="003D2B69">
    <w:pPr>
      <w:pStyle w:val="Footer"/>
      <w:framePr w:wrap="around" w:vAnchor="text" w:hAnchor="margin" w:xAlign="center" w:y="1"/>
      <w:rPr>
        <w:rStyle w:val="PageNumber"/>
      </w:rPr>
    </w:pPr>
    <w:r w:rsidRPr="003B279F">
      <w:rPr>
        <w:rStyle w:val="PageNumber"/>
      </w:rPr>
      <w:fldChar w:fldCharType="begin"/>
    </w:r>
    <w:r w:rsidRPr="003B279F">
      <w:rPr>
        <w:rStyle w:val="PageNumber"/>
      </w:rPr>
      <w:instrText xml:space="preserve">PAGE  </w:instrText>
    </w:r>
    <w:r w:rsidRPr="003B279F">
      <w:rPr>
        <w:rStyle w:val="PageNumber"/>
      </w:rPr>
      <w:fldChar w:fldCharType="separate"/>
    </w:r>
    <w:r>
      <w:rPr>
        <w:rStyle w:val="PageNumber"/>
        <w:noProof/>
      </w:rPr>
      <w:t>42</w:t>
    </w:r>
    <w:r w:rsidRPr="003B279F">
      <w:rPr>
        <w:rStyle w:val="PageNumber"/>
      </w:rPr>
      <w:fldChar w:fldCharType="end"/>
    </w:r>
  </w:p>
  <w:p w14:paraId="04F836DD" w14:textId="77777777" w:rsidR="00D86911" w:rsidRDefault="00D86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D3EB4" w14:textId="77777777" w:rsidR="009E1776" w:rsidRDefault="009E1776" w:rsidP="005F1C61">
      <w:r>
        <w:separator/>
      </w:r>
    </w:p>
  </w:footnote>
  <w:footnote w:type="continuationSeparator" w:id="0">
    <w:p w14:paraId="25F47B85" w14:textId="77777777" w:rsidR="009E1776" w:rsidRDefault="009E1776" w:rsidP="005F1C61">
      <w:r>
        <w:continuationSeparator/>
      </w:r>
    </w:p>
  </w:footnote>
  <w:footnote w:id="1">
    <w:p w14:paraId="5272A423" w14:textId="2FD4D5E1" w:rsidR="00D86911" w:rsidRPr="00515550" w:rsidRDefault="00D86911" w:rsidP="005F1C61">
      <w:pPr>
        <w:pStyle w:val="FootnoteText"/>
        <w:rPr>
          <w:sz w:val="20"/>
        </w:rPr>
      </w:pPr>
      <w:r>
        <w:rPr>
          <w:rStyle w:val="FootnoteReference"/>
        </w:rPr>
        <w:t>*</w:t>
      </w:r>
      <w:r>
        <w:t xml:space="preserve"> </w:t>
      </w:r>
      <w:r>
        <w:rPr>
          <w:i/>
          <w:sz w:val="20"/>
        </w:rPr>
        <w:t xml:space="preserve">Corresponding author address: </w:t>
      </w:r>
      <w:r>
        <w:rPr>
          <w:sz w:val="20"/>
        </w:rPr>
        <w:t>Andrew C. Winters, Dept. of Atmospheric and Oceanic Sciences, University of Colorado Boulder, 311 UCB, Boulder, CO 80309. E-mail: andrew.c.winters@colorado.edu</w:t>
      </w:r>
    </w:p>
  </w:footnote>
  <w:footnote w:id="2">
    <w:p w14:paraId="67627829" w14:textId="62C1D295" w:rsidR="00D86911" w:rsidRPr="00B2599C" w:rsidRDefault="00D86911">
      <w:pPr>
        <w:pStyle w:val="FootnoteText"/>
      </w:pPr>
      <w:r>
        <w:rPr>
          <w:rStyle w:val="FootnoteReference"/>
        </w:rPr>
        <w:footnoteRef/>
      </w:r>
      <w:r>
        <w:t xml:space="preserve"> </w:t>
      </w:r>
      <w:r w:rsidRPr="00F67277">
        <w:rPr>
          <w:sz w:val="20"/>
          <w:szCs w:val="20"/>
        </w:rPr>
        <w:t xml:space="preserve">Note that these conventions </w:t>
      </w:r>
      <w:r>
        <w:rPr>
          <w:sz w:val="20"/>
          <w:szCs w:val="20"/>
        </w:rPr>
        <w:t>differ</w:t>
      </w:r>
      <w:r w:rsidRPr="00F67277">
        <w:rPr>
          <w:sz w:val="20"/>
          <w:szCs w:val="20"/>
        </w:rPr>
        <w:t xml:space="preserve"> from those utilized by Keyser et al. (1992), </w:t>
      </w:r>
      <w:r>
        <w:rPr>
          <w:sz w:val="20"/>
          <w:szCs w:val="20"/>
        </w:rPr>
        <w:t xml:space="preserve">who partition </w:t>
      </w:r>
      <w:r w:rsidRPr="00F67277">
        <w:rPr>
          <w:b/>
          <w:i/>
          <w:sz w:val="20"/>
          <w:szCs w:val="20"/>
        </w:rPr>
        <w:t>Q</w:t>
      </w:r>
      <w:r>
        <w:rPr>
          <w:b/>
          <w:i/>
          <w:sz w:val="20"/>
          <w:szCs w:val="20"/>
        </w:rPr>
        <w:t xml:space="preserve"> </w:t>
      </w:r>
      <w:r>
        <w:rPr>
          <w:sz w:val="20"/>
          <w:szCs w:val="20"/>
        </w:rPr>
        <w:t>using a</w:t>
      </w:r>
      <w:r w:rsidRPr="00F67277">
        <w:rPr>
          <w:sz w:val="20"/>
          <w:szCs w:val="20"/>
        </w:rPr>
        <w:t xml:space="preserve"> right-hand coordinate system.</w:t>
      </w:r>
      <w:r>
        <w:rPr>
          <w:sz w:val="20"/>
          <w:szCs w:val="20"/>
        </w:rPr>
        <w:t xml:space="preserve"> These different conventions do not alter the physical interpretation of the along-isotherm and across-isotherm components of </w:t>
      </w:r>
      <w:r>
        <w:rPr>
          <w:b/>
          <w:i/>
          <w:sz w:val="20"/>
          <w:szCs w:val="20"/>
        </w:rPr>
        <w:t>Q</w:t>
      </w:r>
      <w:r>
        <w:rPr>
          <w:sz w:val="20"/>
          <w:szCs w:val="20"/>
        </w:rPr>
        <w:t>.</w:t>
      </w:r>
    </w:p>
  </w:footnote>
  <w:footnote w:id="3">
    <w:p w14:paraId="189518F3" w14:textId="0C329059" w:rsidR="00D86911" w:rsidRDefault="00D86911">
      <w:pPr>
        <w:pStyle w:val="FootnoteText"/>
      </w:pPr>
      <w:r>
        <w:rPr>
          <w:rStyle w:val="FootnoteReference"/>
        </w:rPr>
        <w:footnoteRef/>
      </w:r>
      <w:r>
        <w:t xml:space="preserve"> </w:t>
      </w:r>
      <w:r w:rsidRPr="003904D7">
        <w:rPr>
          <w:sz w:val="20"/>
          <w:szCs w:val="20"/>
        </w:rPr>
        <w:t xml:space="preserve">Similar results </w:t>
      </w:r>
      <w:r>
        <w:rPr>
          <w:sz w:val="20"/>
          <w:szCs w:val="20"/>
        </w:rPr>
        <w:t>to those shown in</w:t>
      </w:r>
      <w:r w:rsidRPr="003904D7">
        <w:rPr>
          <w:sz w:val="20"/>
          <w:szCs w:val="20"/>
        </w:rPr>
        <w:t xml:space="preserve"> </w:t>
      </w:r>
      <w:r>
        <w:rPr>
          <w:sz w:val="20"/>
          <w:szCs w:val="20"/>
        </w:rPr>
        <w:t>Figs. 11–13</w:t>
      </w:r>
      <w:r w:rsidRPr="003904D7">
        <w:rPr>
          <w:sz w:val="20"/>
          <w:szCs w:val="20"/>
        </w:rPr>
        <w:t xml:space="preserve"> are</w:t>
      </w:r>
      <w:r>
        <w:rPr>
          <w:sz w:val="20"/>
          <w:szCs w:val="20"/>
        </w:rPr>
        <w:t xml:space="preserve"> also</w:t>
      </w:r>
      <w:r w:rsidRPr="003904D7">
        <w:rPr>
          <w:sz w:val="20"/>
          <w:szCs w:val="20"/>
        </w:rPr>
        <w:t xml:space="preserve"> </w:t>
      </w:r>
      <w:r>
        <w:rPr>
          <w:sz w:val="20"/>
          <w:szCs w:val="20"/>
        </w:rPr>
        <w:t>obtained</w:t>
      </w:r>
      <w:r w:rsidRPr="003904D7">
        <w:rPr>
          <w:sz w:val="20"/>
          <w:szCs w:val="20"/>
        </w:rPr>
        <w:t xml:space="preserve"> 12 h prior to jet superposition.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45CE0"/>
    <w:multiLevelType w:val="hybridMultilevel"/>
    <w:tmpl w:val="0C6E3286"/>
    <w:lvl w:ilvl="0" w:tplc="6CF09322">
      <w:start w:val="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8157A"/>
    <w:multiLevelType w:val="hybridMultilevel"/>
    <w:tmpl w:val="5E66F54C"/>
    <w:lvl w:ilvl="0" w:tplc="01FEC0E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D50CEC"/>
    <w:multiLevelType w:val="hybridMultilevel"/>
    <w:tmpl w:val="AE94D15A"/>
    <w:lvl w:ilvl="0" w:tplc="876A7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C54B58"/>
    <w:multiLevelType w:val="multilevel"/>
    <w:tmpl w:val="7FBA759A"/>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8C7E86"/>
    <w:multiLevelType w:val="hybridMultilevel"/>
    <w:tmpl w:val="C5E6B166"/>
    <w:lvl w:ilvl="0" w:tplc="147E8F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6B1702"/>
    <w:multiLevelType w:val="hybridMultilevel"/>
    <w:tmpl w:val="6472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414B2"/>
    <w:multiLevelType w:val="hybridMultilevel"/>
    <w:tmpl w:val="5A0615D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41630"/>
    <w:multiLevelType w:val="hybridMultilevel"/>
    <w:tmpl w:val="5EC62FF2"/>
    <w:lvl w:ilvl="0" w:tplc="DE66A92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C02EC5"/>
    <w:multiLevelType w:val="hybridMultilevel"/>
    <w:tmpl w:val="0A744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A2F5C"/>
    <w:multiLevelType w:val="hybridMultilevel"/>
    <w:tmpl w:val="1868A098"/>
    <w:lvl w:ilvl="0" w:tplc="301E5122">
      <w:start w:val="2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8A28B0"/>
    <w:multiLevelType w:val="hybridMultilevel"/>
    <w:tmpl w:val="1D860E0C"/>
    <w:lvl w:ilvl="0" w:tplc="3B6C17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201ED"/>
    <w:multiLevelType w:val="hybridMultilevel"/>
    <w:tmpl w:val="2786B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D5AF7"/>
    <w:multiLevelType w:val="hybridMultilevel"/>
    <w:tmpl w:val="F940D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9D4F0E"/>
    <w:multiLevelType w:val="hybridMultilevel"/>
    <w:tmpl w:val="08CA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9319A"/>
    <w:multiLevelType w:val="hybridMultilevel"/>
    <w:tmpl w:val="A6D4BDE2"/>
    <w:lvl w:ilvl="0" w:tplc="197AA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11"/>
  </w:num>
  <w:num w:numId="4">
    <w:abstractNumId w:val="4"/>
  </w:num>
  <w:num w:numId="5">
    <w:abstractNumId w:val="14"/>
  </w:num>
  <w:num w:numId="6">
    <w:abstractNumId w:val="0"/>
  </w:num>
  <w:num w:numId="7">
    <w:abstractNumId w:val="8"/>
  </w:num>
  <w:num w:numId="8">
    <w:abstractNumId w:val="2"/>
  </w:num>
  <w:num w:numId="9">
    <w:abstractNumId w:val="12"/>
  </w:num>
  <w:num w:numId="10">
    <w:abstractNumId w:val="5"/>
  </w:num>
  <w:num w:numId="11">
    <w:abstractNumId w:val="13"/>
  </w:num>
  <w:num w:numId="12">
    <w:abstractNumId w:val="9"/>
  </w:num>
  <w:num w:numId="13">
    <w:abstractNumId w:val="7"/>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61"/>
    <w:rsid w:val="0000056C"/>
    <w:rsid w:val="000009BB"/>
    <w:rsid w:val="00000D93"/>
    <w:rsid w:val="00001215"/>
    <w:rsid w:val="000014B9"/>
    <w:rsid w:val="00002143"/>
    <w:rsid w:val="00002290"/>
    <w:rsid w:val="000022C8"/>
    <w:rsid w:val="00002669"/>
    <w:rsid w:val="00002E93"/>
    <w:rsid w:val="000030FB"/>
    <w:rsid w:val="00003352"/>
    <w:rsid w:val="000033EA"/>
    <w:rsid w:val="00003850"/>
    <w:rsid w:val="00003D3D"/>
    <w:rsid w:val="000044CC"/>
    <w:rsid w:val="0000474B"/>
    <w:rsid w:val="00004AEC"/>
    <w:rsid w:val="0000574B"/>
    <w:rsid w:val="00005904"/>
    <w:rsid w:val="0000594B"/>
    <w:rsid w:val="00005FFB"/>
    <w:rsid w:val="000067B3"/>
    <w:rsid w:val="000068E2"/>
    <w:rsid w:val="00006AFA"/>
    <w:rsid w:val="000070A0"/>
    <w:rsid w:val="000078CF"/>
    <w:rsid w:val="000079F1"/>
    <w:rsid w:val="00007C90"/>
    <w:rsid w:val="00007CAA"/>
    <w:rsid w:val="00010040"/>
    <w:rsid w:val="0001052D"/>
    <w:rsid w:val="00010BBD"/>
    <w:rsid w:val="00010E56"/>
    <w:rsid w:val="000112E1"/>
    <w:rsid w:val="0001145E"/>
    <w:rsid w:val="000114E3"/>
    <w:rsid w:val="00011A31"/>
    <w:rsid w:val="00011EC7"/>
    <w:rsid w:val="00012275"/>
    <w:rsid w:val="00012FE4"/>
    <w:rsid w:val="00013027"/>
    <w:rsid w:val="0001349E"/>
    <w:rsid w:val="00013527"/>
    <w:rsid w:val="000139D0"/>
    <w:rsid w:val="00014041"/>
    <w:rsid w:val="00014943"/>
    <w:rsid w:val="000155B6"/>
    <w:rsid w:val="00015AAC"/>
    <w:rsid w:val="00015F9B"/>
    <w:rsid w:val="000168D0"/>
    <w:rsid w:val="00016A49"/>
    <w:rsid w:val="000179C2"/>
    <w:rsid w:val="00017E03"/>
    <w:rsid w:val="00020775"/>
    <w:rsid w:val="00022383"/>
    <w:rsid w:val="0002273E"/>
    <w:rsid w:val="00023328"/>
    <w:rsid w:val="0002348E"/>
    <w:rsid w:val="000234A6"/>
    <w:rsid w:val="00023CD3"/>
    <w:rsid w:val="00024037"/>
    <w:rsid w:val="0002430A"/>
    <w:rsid w:val="0002439F"/>
    <w:rsid w:val="00024A53"/>
    <w:rsid w:val="00024BC6"/>
    <w:rsid w:val="00025035"/>
    <w:rsid w:val="000253D0"/>
    <w:rsid w:val="00026635"/>
    <w:rsid w:val="0002680C"/>
    <w:rsid w:val="00026890"/>
    <w:rsid w:val="00026915"/>
    <w:rsid w:val="000272F1"/>
    <w:rsid w:val="000278B8"/>
    <w:rsid w:val="000300AC"/>
    <w:rsid w:val="0003045A"/>
    <w:rsid w:val="00030791"/>
    <w:rsid w:val="00030BED"/>
    <w:rsid w:val="00030E60"/>
    <w:rsid w:val="00030F5D"/>
    <w:rsid w:val="000315EC"/>
    <w:rsid w:val="0003172F"/>
    <w:rsid w:val="00031AFE"/>
    <w:rsid w:val="00031D25"/>
    <w:rsid w:val="00031D8E"/>
    <w:rsid w:val="00031E3F"/>
    <w:rsid w:val="000324A9"/>
    <w:rsid w:val="0003280D"/>
    <w:rsid w:val="000329D1"/>
    <w:rsid w:val="000334D4"/>
    <w:rsid w:val="000349DF"/>
    <w:rsid w:val="00034A9B"/>
    <w:rsid w:val="00034D8B"/>
    <w:rsid w:val="000354DE"/>
    <w:rsid w:val="00035679"/>
    <w:rsid w:val="00035961"/>
    <w:rsid w:val="00035EC0"/>
    <w:rsid w:val="00035EF5"/>
    <w:rsid w:val="00036EED"/>
    <w:rsid w:val="00036F34"/>
    <w:rsid w:val="00037A4F"/>
    <w:rsid w:val="00040970"/>
    <w:rsid w:val="00040A0C"/>
    <w:rsid w:val="0004185B"/>
    <w:rsid w:val="00041DA1"/>
    <w:rsid w:val="00041F14"/>
    <w:rsid w:val="0004233A"/>
    <w:rsid w:val="000426A2"/>
    <w:rsid w:val="00042768"/>
    <w:rsid w:val="00043591"/>
    <w:rsid w:val="0004409E"/>
    <w:rsid w:val="00045892"/>
    <w:rsid w:val="00045BF9"/>
    <w:rsid w:val="00045F81"/>
    <w:rsid w:val="00046048"/>
    <w:rsid w:val="00046069"/>
    <w:rsid w:val="00046345"/>
    <w:rsid w:val="00046A33"/>
    <w:rsid w:val="00047F68"/>
    <w:rsid w:val="00050350"/>
    <w:rsid w:val="000510F8"/>
    <w:rsid w:val="000516FE"/>
    <w:rsid w:val="00051E21"/>
    <w:rsid w:val="000525A4"/>
    <w:rsid w:val="0005313D"/>
    <w:rsid w:val="000531A2"/>
    <w:rsid w:val="00053D8F"/>
    <w:rsid w:val="00053EE7"/>
    <w:rsid w:val="00054378"/>
    <w:rsid w:val="00054728"/>
    <w:rsid w:val="00054FD2"/>
    <w:rsid w:val="0005537C"/>
    <w:rsid w:val="00056176"/>
    <w:rsid w:val="000577CC"/>
    <w:rsid w:val="00057E2D"/>
    <w:rsid w:val="0006042E"/>
    <w:rsid w:val="0006063A"/>
    <w:rsid w:val="0006111B"/>
    <w:rsid w:val="000618AB"/>
    <w:rsid w:val="00061E49"/>
    <w:rsid w:val="00062467"/>
    <w:rsid w:val="00063648"/>
    <w:rsid w:val="000645D4"/>
    <w:rsid w:val="00064641"/>
    <w:rsid w:val="00065AEC"/>
    <w:rsid w:val="00065D51"/>
    <w:rsid w:val="00065DEC"/>
    <w:rsid w:val="00066B5B"/>
    <w:rsid w:val="00066CD1"/>
    <w:rsid w:val="00066D47"/>
    <w:rsid w:val="00066EDC"/>
    <w:rsid w:val="00066FB5"/>
    <w:rsid w:val="00067373"/>
    <w:rsid w:val="00067DED"/>
    <w:rsid w:val="00071605"/>
    <w:rsid w:val="00071BF3"/>
    <w:rsid w:val="00072B39"/>
    <w:rsid w:val="00072E37"/>
    <w:rsid w:val="00073648"/>
    <w:rsid w:val="00074111"/>
    <w:rsid w:val="000744E5"/>
    <w:rsid w:val="00074E97"/>
    <w:rsid w:val="00075525"/>
    <w:rsid w:val="000756F4"/>
    <w:rsid w:val="00075ABA"/>
    <w:rsid w:val="00075D74"/>
    <w:rsid w:val="0007616D"/>
    <w:rsid w:val="00076B42"/>
    <w:rsid w:val="0007745D"/>
    <w:rsid w:val="0007776B"/>
    <w:rsid w:val="000801B7"/>
    <w:rsid w:val="000808D1"/>
    <w:rsid w:val="00080AC0"/>
    <w:rsid w:val="00080CC4"/>
    <w:rsid w:val="00080D97"/>
    <w:rsid w:val="00081C05"/>
    <w:rsid w:val="0008223E"/>
    <w:rsid w:val="00082397"/>
    <w:rsid w:val="00083296"/>
    <w:rsid w:val="00083650"/>
    <w:rsid w:val="00083B10"/>
    <w:rsid w:val="00083C4E"/>
    <w:rsid w:val="00083E0E"/>
    <w:rsid w:val="000840E3"/>
    <w:rsid w:val="00084D01"/>
    <w:rsid w:val="00086692"/>
    <w:rsid w:val="0008699F"/>
    <w:rsid w:val="00086B67"/>
    <w:rsid w:val="000876D4"/>
    <w:rsid w:val="000900BB"/>
    <w:rsid w:val="00090661"/>
    <w:rsid w:val="000908DD"/>
    <w:rsid w:val="000909B4"/>
    <w:rsid w:val="0009105B"/>
    <w:rsid w:val="00091868"/>
    <w:rsid w:val="000918A3"/>
    <w:rsid w:val="000920F5"/>
    <w:rsid w:val="00092714"/>
    <w:rsid w:val="00092A28"/>
    <w:rsid w:val="00092D1D"/>
    <w:rsid w:val="000931B8"/>
    <w:rsid w:val="00093297"/>
    <w:rsid w:val="000935D4"/>
    <w:rsid w:val="00094940"/>
    <w:rsid w:val="0009503D"/>
    <w:rsid w:val="000959AC"/>
    <w:rsid w:val="00095CB6"/>
    <w:rsid w:val="0009671C"/>
    <w:rsid w:val="000972CE"/>
    <w:rsid w:val="00097548"/>
    <w:rsid w:val="00097838"/>
    <w:rsid w:val="000A1716"/>
    <w:rsid w:val="000A1E56"/>
    <w:rsid w:val="000A2694"/>
    <w:rsid w:val="000A305E"/>
    <w:rsid w:val="000A31C5"/>
    <w:rsid w:val="000A3A58"/>
    <w:rsid w:val="000A46A0"/>
    <w:rsid w:val="000A4F14"/>
    <w:rsid w:val="000A4FD8"/>
    <w:rsid w:val="000A5BAC"/>
    <w:rsid w:val="000A6CEB"/>
    <w:rsid w:val="000A738A"/>
    <w:rsid w:val="000A7613"/>
    <w:rsid w:val="000A7F13"/>
    <w:rsid w:val="000B0350"/>
    <w:rsid w:val="000B0AB6"/>
    <w:rsid w:val="000B162A"/>
    <w:rsid w:val="000B276F"/>
    <w:rsid w:val="000B27FF"/>
    <w:rsid w:val="000B2B6E"/>
    <w:rsid w:val="000B30DB"/>
    <w:rsid w:val="000B3198"/>
    <w:rsid w:val="000B3D42"/>
    <w:rsid w:val="000B4A73"/>
    <w:rsid w:val="000B4B21"/>
    <w:rsid w:val="000B4FE6"/>
    <w:rsid w:val="000B53F9"/>
    <w:rsid w:val="000B5459"/>
    <w:rsid w:val="000B5615"/>
    <w:rsid w:val="000B5A62"/>
    <w:rsid w:val="000B5F29"/>
    <w:rsid w:val="000B7187"/>
    <w:rsid w:val="000C01FB"/>
    <w:rsid w:val="000C0414"/>
    <w:rsid w:val="000C1177"/>
    <w:rsid w:val="000C1299"/>
    <w:rsid w:val="000C17F2"/>
    <w:rsid w:val="000C2549"/>
    <w:rsid w:val="000C27CD"/>
    <w:rsid w:val="000C32B3"/>
    <w:rsid w:val="000C32F7"/>
    <w:rsid w:val="000C35F8"/>
    <w:rsid w:val="000C38F9"/>
    <w:rsid w:val="000C3A9F"/>
    <w:rsid w:val="000C3AED"/>
    <w:rsid w:val="000C4145"/>
    <w:rsid w:val="000C481A"/>
    <w:rsid w:val="000C4A29"/>
    <w:rsid w:val="000C4F29"/>
    <w:rsid w:val="000C4FC7"/>
    <w:rsid w:val="000C506C"/>
    <w:rsid w:val="000C513E"/>
    <w:rsid w:val="000C6580"/>
    <w:rsid w:val="000C6A48"/>
    <w:rsid w:val="000C6C03"/>
    <w:rsid w:val="000C6D6C"/>
    <w:rsid w:val="000C6E0A"/>
    <w:rsid w:val="000C75C5"/>
    <w:rsid w:val="000C77BC"/>
    <w:rsid w:val="000D0BBE"/>
    <w:rsid w:val="000D14CC"/>
    <w:rsid w:val="000D17FB"/>
    <w:rsid w:val="000D1AB3"/>
    <w:rsid w:val="000D1ADC"/>
    <w:rsid w:val="000D2ECC"/>
    <w:rsid w:val="000D30E8"/>
    <w:rsid w:val="000D35DD"/>
    <w:rsid w:val="000D35ED"/>
    <w:rsid w:val="000D3645"/>
    <w:rsid w:val="000D3C25"/>
    <w:rsid w:val="000D4971"/>
    <w:rsid w:val="000D536E"/>
    <w:rsid w:val="000D57B2"/>
    <w:rsid w:val="000D5E08"/>
    <w:rsid w:val="000D6833"/>
    <w:rsid w:val="000D6AAE"/>
    <w:rsid w:val="000D6CC8"/>
    <w:rsid w:val="000D7212"/>
    <w:rsid w:val="000D7769"/>
    <w:rsid w:val="000D7955"/>
    <w:rsid w:val="000E0555"/>
    <w:rsid w:val="000E1CAB"/>
    <w:rsid w:val="000E1F09"/>
    <w:rsid w:val="000E2694"/>
    <w:rsid w:val="000E2E8D"/>
    <w:rsid w:val="000E375C"/>
    <w:rsid w:val="000E37AD"/>
    <w:rsid w:val="000E3B77"/>
    <w:rsid w:val="000E4281"/>
    <w:rsid w:val="000E4628"/>
    <w:rsid w:val="000E4F93"/>
    <w:rsid w:val="000E554C"/>
    <w:rsid w:val="000E5F95"/>
    <w:rsid w:val="000E6463"/>
    <w:rsid w:val="000E64C1"/>
    <w:rsid w:val="000E676D"/>
    <w:rsid w:val="000E6E92"/>
    <w:rsid w:val="000E717B"/>
    <w:rsid w:val="000E7546"/>
    <w:rsid w:val="000E754B"/>
    <w:rsid w:val="000F0648"/>
    <w:rsid w:val="000F109C"/>
    <w:rsid w:val="000F13BA"/>
    <w:rsid w:val="000F140A"/>
    <w:rsid w:val="000F1545"/>
    <w:rsid w:val="000F225A"/>
    <w:rsid w:val="000F233A"/>
    <w:rsid w:val="000F32C9"/>
    <w:rsid w:val="000F46FC"/>
    <w:rsid w:val="000F4BA9"/>
    <w:rsid w:val="000F567D"/>
    <w:rsid w:val="000F5842"/>
    <w:rsid w:val="000F594F"/>
    <w:rsid w:val="000F5CF2"/>
    <w:rsid w:val="000F5F49"/>
    <w:rsid w:val="000F6291"/>
    <w:rsid w:val="000F66D4"/>
    <w:rsid w:val="000F6F2D"/>
    <w:rsid w:val="000F71FB"/>
    <w:rsid w:val="000F7B62"/>
    <w:rsid w:val="0010073C"/>
    <w:rsid w:val="00100BAD"/>
    <w:rsid w:val="00100DB2"/>
    <w:rsid w:val="00100F4B"/>
    <w:rsid w:val="0010166E"/>
    <w:rsid w:val="00101E34"/>
    <w:rsid w:val="001027EE"/>
    <w:rsid w:val="00102DC9"/>
    <w:rsid w:val="00102DE1"/>
    <w:rsid w:val="00103FC7"/>
    <w:rsid w:val="001052D1"/>
    <w:rsid w:val="00105993"/>
    <w:rsid w:val="00106369"/>
    <w:rsid w:val="001063B9"/>
    <w:rsid w:val="0010654E"/>
    <w:rsid w:val="00106760"/>
    <w:rsid w:val="00107043"/>
    <w:rsid w:val="00107AF6"/>
    <w:rsid w:val="00107F3E"/>
    <w:rsid w:val="00110353"/>
    <w:rsid w:val="00110C04"/>
    <w:rsid w:val="00110F8E"/>
    <w:rsid w:val="00111191"/>
    <w:rsid w:val="00111347"/>
    <w:rsid w:val="00111848"/>
    <w:rsid w:val="001118CA"/>
    <w:rsid w:val="00111DB6"/>
    <w:rsid w:val="00112048"/>
    <w:rsid w:val="00112B39"/>
    <w:rsid w:val="00112CEA"/>
    <w:rsid w:val="00112D94"/>
    <w:rsid w:val="00113504"/>
    <w:rsid w:val="001143E6"/>
    <w:rsid w:val="00114F13"/>
    <w:rsid w:val="00114FCB"/>
    <w:rsid w:val="00115426"/>
    <w:rsid w:val="0011559C"/>
    <w:rsid w:val="0011620F"/>
    <w:rsid w:val="00116237"/>
    <w:rsid w:val="00116247"/>
    <w:rsid w:val="0011763B"/>
    <w:rsid w:val="001178D4"/>
    <w:rsid w:val="00117EE7"/>
    <w:rsid w:val="0012015D"/>
    <w:rsid w:val="00120300"/>
    <w:rsid w:val="001206D2"/>
    <w:rsid w:val="00120738"/>
    <w:rsid w:val="0012134A"/>
    <w:rsid w:val="00121566"/>
    <w:rsid w:val="0012268F"/>
    <w:rsid w:val="00123DE9"/>
    <w:rsid w:val="001243A9"/>
    <w:rsid w:val="001244A2"/>
    <w:rsid w:val="0012492A"/>
    <w:rsid w:val="00124981"/>
    <w:rsid w:val="001249CA"/>
    <w:rsid w:val="00124FE9"/>
    <w:rsid w:val="0012509F"/>
    <w:rsid w:val="001259A0"/>
    <w:rsid w:val="00125F99"/>
    <w:rsid w:val="001262C0"/>
    <w:rsid w:val="00126570"/>
    <w:rsid w:val="00126B5A"/>
    <w:rsid w:val="001300AF"/>
    <w:rsid w:val="00130266"/>
    <w:rsid w:val="00130BB7"/>
    <w:rsid w:val="00130D1B"/>
    <w:rsid w:val="00132972"/>
    <w:rsid w:val="001332AA"/>
    <w:rsid w:val="00134B94"/>
    <w:rsid w:val="001353FC"/>
    <w:rsid w:val="00135993"/>
    <w:rsid w:val="00135A84"/>
    <w:rsid w:val="00135D2C"/>
    <w:rsid w:val="00135F54"/>
    <w:rsid w:val="001361D0"/>
    <w:rsid w:val="001362FF"/>
    <w:rsid w:val="00136F76"/>
    <w:rsid w:val="001378F3"/>
    <w:rsid w:val="001406B3"/>
    <w:rsid w:val="00140778"/>
    <w:rsid w:val="00140923"/>
    <w:rsid w:val="001410AC"/>
    <w:rsid w:val="00141152"/>
    <w:rsid w:val="0014116F"/>
    <w:rsid w:val="00141282"/>
    <w:rsid w:val="00141F28"/>
    <w:rsid w:val="001426F0"/>
    <w:rsid w:val="00142707"/>
    <w:rsid w:val="0014278F"/>
    <w:rsid w:val="001437A9"/>
    <w:rsid w:val="0014396A"/>
    <w:rsid w:val="00145700"/>
    <w:rsid w:val="00145E01"/>
    <w:rsid w:val="001461EF"/>
    <w:rsid w:val="001469E0"/>
    <w:rsid w:val="0014760B"/>
    <w:rsid w:val="001476EA"/>
    <w:rsid w:val="00147D8F"/>
    <w:rsid w:val="001504F6"/>
    <w:rsid w:val="001505B7"/>
    <w:rsid w:val="0015142D"/>
    <w:rsid w:val="00151BCE"/>
    <w:rsid w:val="00151D06"/>
    <w:rsid w:val="00151E60"/>
    <w:rsid w:val="0015353A"/>
    <w:rsid w:val="0015367D"/>
    <w:rsid w:val="001539EE"/>
    <w:rsid w:val="00153C3B"/>
    <w:rsid w:val="00154160"/>
    <w:rsid w:val="00154223"/>
    <w:rsid w:val="00154846"/>
    <w:rsid w:val="00155372"/>
    <w:rsid w:val="001555BA"/>
    <w:rsid w:val="001562D7"/>
    <w:rsid w:val="0015643B"/>
    <w:rsid w:val="00156474"/>
    <w:rsid w:val="001567F1"/>
    <w:rsid w:val="00156BA2"/>
    <w:rsid w:val="00156DE0"/>
    <w:rsid w:val="00157783"/>
    <w:rsid w:val="00157A56"/>
    <w:rsid w:val="00160142"/>
    <w:rsid w:val="0016062B"/>
    <w:rsid w:val="00160998"/>
    <w:rsid w:val="0016178B"/>
    <w:rsid w:val="001619C9"/>
    <w:rsid w:val="00161AC8"/>
    <w:rsid w:val="00161B34"/>
    <w:rsid w:val="0016228F"/>
    <w:rsid w:val="0016275F"/>
    <w:rsid w:val="0016285D"/>
    <w:rsid w:val="00163BDA"/>
    <w:rsid w:val="001640EB"/>
    <w:rsid w:val="001648B6"/>
    <w:rsid w:val="0016493F"/>
    <w:rsid w:val="00164DA3"/>
    <w:rsid w:val="00165292"/>
    <w:rsid w:val="00165476"/>
    <w:rsid w:val="00165835"/>
    <w:rsid w:val="00166715"/>
    <w:rsid w:val="00166F4F"/>
    <w:rsid w:val="00167146"/>
    <w:rsid w:val="001674AE"/>
    <w:rsid w:val="001675BD"/>
    <w:rsid w:val="00167A53"/>
    <w:rsid w:val="00170169"/>
    <w:rsid w:val="00170841"/>
    <w:rsid w:val="00170E47"/>
    <w:rsid w:val="001711EF"/>
    <w:rsid w:val="00171862"/>
    <w:rsid w:val="00172AB6"/>
    <w:rsid w:val="00172B69"/>
    <w:rsid w:val="00173E5B"/>
    <w:rsid w:val="001741A9"/>
    <w:rsid w:val="00175663"/>
    <w:rsid w:val="001757BB"/>
    <w:rsid w:val="00175F55"/>
    <w:rsid w:val="00176D03"/>
    <w:rsid w:val="001770D5"/>
    <w:rsid w:val="0017735D"/>
    <w:rsid w:val="001775CF"/>
    <w:rsid w:val="00177909"/>
    <w:rsid w:val="00177CC7"/>
    <w:rsid w:val="00180DC3"/>
    <w:rsid w:val="00181042"/>
    <w:rsid w:val="0018256A"/>
    <w:rsid w:val="00182B54"/>
    <w:rsid w:val="0018342F"/>
    <w:rsid w:val="00183C4D"/>
    <w:rsid w:val="00183CCB"/>
    <w:rsid w:val="00184E53"/>
    <w:rsid w:val="00184F68"/>
    <w:rsid w:val="001860A6"/>
    <w:rsid w:val="00186CE4"/>
    <w:rsid w:val="00187193"/>
    <w:rsid w:val="00187BD5"/>
    <w:rsid w:val="00187DA4"/>
    <w:rsid w:val="001900D7"/>
    <w:rsid w:val="00190342"/>
    <w:rsid w:val="00190540"/>
    <w:rsid w:val="00191D60"/>
    <w:rsid w:val="00191D75"/>
    <w:rsid w:val="00192299"/>
    <w:rsid w:val="001923DB"/>
    <w:rsid w:val="00192B27"/>
    <w:rsid w:val="0019313D"/>
    <w:rsid w:val="0019314D"/>
    <w:rsid w:val="001939BC"/>
    <w:rsid w:val="00193EC2"/>
    <w:rsid w:val="0019437C"/>
    <w:rsid w:val="00194AC8"/>
    <w:rsid w:val="00195DBF"/>
    <w:rsid w:val="00196CDC"/>
    <w:rsid w:val="00196D5A"/>
    <w:rsid w:val="0019762E"/>
    <w:rsid w:val="001976C0"/>
    <w:rsid w:val="00197DC8"/>
    <w:rsid w:val="00197F48"/>
    <w:rsid w:val="001A053A"/>
    <w:rsid w:val="001A0C05"/>
    <w:rsid w:val="001A25ED"/>
    <w:rsid w:val="001A3702"/>
    <w:rsid w:val="001A3826"/>
    <w:rsid w:val="001A4400"/>
    <w:rsid w:val="001A47B3"/>
    <w:rsid w:val="001A4BA4"/>
    <w:rsid w:val="001A55E0"/>
    <w:rsid w:val="001A580C"/>
    <w:rsid w:val="001A5AD9"/>
    <w:rsid w:val="001A6DA2"/>
    <w:rsid w:val="001A70C3"/>
    <w:rsid w:val="001A760E"/>
    <w:rsid w:val="001A7A9F"/>
    <w:rsid w:val="001A7F03"/>
    <w:rsid w:val="001B01BF"/>
    <w:rsid w:val="001B0513"/>
    <w:rsid w:val="001B0C69"/>
    <w:rsid w:val="001B14D9"/>
    <w:rsid w:val="001B2154"/>
    <w:rsid w:val="001B2867"/>
    <w:rsid w:val="001B2BC8"/>
    <w:rsid w:val="001B302D"/>
    <w:rsid w:val="001B342D"/>
    <w:rsid w:val="001B3441"/>
    <w:rsid w:val="001B370C"/>
    <w:rsid w:val="001B4805"/>
    <w:rsid w:val="001B4EED"/>
    <w:rsid w:val="001B5F03"/>
    <w:rsid w:val="001B6321"/>
    <w:rsid w:val="001B635F"/>
    <w:rsid w:val="001B7088"/>
    <w:rsid w:val="001B7338"/>
    <w:rsid w:val="001B792D"/>
    <w:rsid w:val="001B7A03"/>
    <w:rsid w:val="001B7B14"/>
    <w:rsid w:val="001B7FCD"/>
    <w:rsid w:val="001C0132"/>
    <w:rsid w:val="001C0FD6"/>
    <w:rsid w:val="001C1427"/>
    <w:rsid w:val="001C16A6"/>
    <w:rsid w:val="001C16C4"/>
    <w:rsid w:val="001C1BA0"/>
    <w:rsid w:val="001C1C59"/>
    <w:rsid w:val="001C2021"/>
    <w:rsid w:val="001C206B"/>
    <w:rsid w:val="001C2A70"/>
    <w:rsid w:val="001C2B40"/>
    <w:rsid w:val="001C3033"/>
    <w:rsid w:val="001C36CF"/>
    <w:rsid w:val="001C46F6"/>
    <w:rsid w:val="001C53C4"/>
    <w:rsid w:val="001C5969"/>
    <w:rsid w:val="001C606F"/>
    <w:rsid w:val="001C63E4"/>
    <w:rsid w:val="001C68A7"/>
    <w:rsid w:val="001C6DD6"/>
    <w:rsid w:val="001C6DE1"/>
    <w:rsid w:val="001C6EC7"/>
    <w:rsid w:val="001C7679"/>
    <w:rsid w:val="001C76D4"/>
    <w:rsid w:val="001D0B6C"/>
    <w:rsid w:val="001D1016"/>
    <w:rsid w:val="001D1952"/>
    <w:rsid w:val="001D1AC1"/>
    <w:rsid w:val="001D2075"/>
    <w:rsid w:val="001D2984"/>
    <w:rsid w:val="001D2D6C"/>
    <w:rsid w:val="001D3404"/>
    <w:rsid w:val="001D34D1"/>
    <w:rsid w:val="001D3579"/>
    <w:rsid w:val="001D3727"/>
    <w:rsid w:val="001D3889"/>
    <w:rsid w:val="001D40C9"/>
    <w:rsid w:val="001D474E"/>
    <w:rsid w:val="001D48AB"/>
    <w:rsid w:val="001D55B0"/>
    <w:rsid w:val="001D5797"/>
    <w:rsid w:val="001D5BA5"/>
    <w:rsid w:val="001D6208"/>
    <w:rsid w:val="001D652D"/>
    <w:rsid w:val="001D6843"/>
    <w:rsid w:val="001D69DF"/>
    <w:rsid w:val="001D6B66"/>
    <w:rsid w:val="001D6FD1"/>
    <w:rsid w:val="001D72C1"/>
    <w:rsid w:val="001D7360"/>
    <w:rsid w:val="001D77B8"/>
    <w:rsid w:val="001D7847"/>
    <w:rsid w:val="001E030E"/>
    <w:rsid w:val="001E04B8"/>
    <w:rsid w:val="001E06A9"/>
    <w:rsid w:val="001E0B08"/>
    <w:rsid w:val="001E0D20"/>
    <w:rsid w:val="001E0FC2"/>
    <w:rsid w:val="001E1040"/>
    <w:rsid w:val="001E2A9E"/>
    <w:rsid w:val="001E2BB6"/>
    <w:rsid w:val="001E3072"/>
    <w:rsid w:val="001E30F7"/>
    <w:rsid w:val="001E3D2F"/>
    <w:rsid w:val="001E4274"/>
    <w:rsid w:val="001E4301"/>
    <w:rsid w:val="001E49F3"/>
    <w:rsid w:val="001E4FCA"/>
    <w:rsid w:val="001E547B"/>
    <w:rsid w:val="001E581B"/>
    <w:rsid w:val="001E599E"/>
    <w:rsid w:val="001E6353"/>
    <w:rsid w:val="001E66B5"/>
    <w:rsid w:val="001E7297"/>
    <w:rsid w:val="001E72DA"/>
    <w:rsid w:val="001E73C5"/>
    <w:rsid w:val="001E74A0"/>
    <w:rsid w:val="001E7523"/>
    <w:rsid w:val="001E78F2"/>
    <w:rsid w:val="001E79DA"/>
    <w:rsid w:val="001E7C80"/>
    <w:rsid w:val="001E7F8E"/>
    <w:rsid w:val="001F072F"/>
    <w:rsid w:val="001F09ED"/>
    <w:rsid w:val="001F0F6C"/>
    <w:rsid w:val="001F1713"/>
    <w:rsid w:val="001F1797"/>
    <w:rsid w:val="001F1AD1"/>
    <w:rsid w:val="001F200D"/>
    <w:rsid w:val="001F23DD"/>
    <w:rsid w:val="001F2565"/>
    <w:rsid w:val="001F28AD"/>
    <w:rsid w:val="001F3578"/>
    <w:rsid w:val="001F3718"/>
    <w:rsid w:val="001F3877"/>
    <w:rsid w:val="001F3B2F"/>
    <w:rsid w:val="001F3BCE"/>
    <w:rsid w:val="001F3D74"/>
    <w:rsid w:val="001F4C19"/>
    <w:rsid w:val="001F4CF3"/>
    <w:rsid w:val="001F4E5C"/>
    <w:rsid w:val="001F5057"/>
    <w:rsid w:val="001F5366"/>
    <w:rsid w:val="001F5D3A"/>
    <w:rsid w:val="001F621D"/>
    <w:rsid w:val="001F63FB"/>
    <w:rsid w:val="001F6636"/>
    <w:rsid w:val="001F706A"/>
    <w:rsid w:val="001F7646"/>
    <w:rsid w:val="001F7C2E"/>
    <w:rsid w:val="001F7E1A"/>
    <w:rsid w:val="00200042"/>
    <w:rsid w:val="002006EB"/>
    <w:rsid w:val="00200D12"/>
    <w:rsid w:val="00200F38"/>
    <w:rsid w:val="002011A2"/>
    <w:rsid w:val="002011AF"/>
    <w:rsid w:val="00201752"/>
    <w:rsid w:val="00201F55"/>
    <w:rsid w:val="00201F6C"/>
    <w:rsid w:val="00202FFF"/>
    <w:rsid w:val="002035A7"/>
    <w:rsid w:val="002038D5"/>
    <w:rsid w:val="0020460D"/>
    <w:rsid w:val="002047A7"/>
    <w:rsid w:val="00204FF6"/>
    <w:rsid w:val="00205361"/>
    <w:rsid w:val="002053B5"/>
    <w:rsid w:val="002058B1"/>
    <w:rsid w:val="00205D57"/>
    <w:rsid w:val="00206733"/>
    <w:rsid w:val="0020734C"/>
    <w:rsid w:val="002079AB"/>
    <w:rsid w:val="00207B27"/>
    <w:rsid w:val="00207B37"/>
    <w:rsid w:val="00207D82"/>
    <w:rsid w:val="00210ABA"/>
    <w:rsid w:val="00210ADA"/>
    <w:rsid w:val="00210E4B"/>
    <w:rsid w:val="00210E9D"/>
    <w:rsid w:val="00211559"/>
    <w:rsid w:val="00211DDC"/>
    <w:rsid w:val="00211ECB"/>
    <w:rsid w:val="0021222C"/>
    <w:rsid w:val="00212295"/>
    <w:rsid w:val="00212783"/>
    <w:rsid w:val="002132F7"/>
    <w:rsid w:val="00213AFB"/>
    <w:rsid w:val="002149E5"/>
    <w:rsid w:val="00214AA1"/>
    <w:rsid w:val="00215021"/>
    <w:rsid w:val="002151EF"/>
    <w:rsid w:val="0021563C"/>
    <w:rsid w:val="00215CAD"/>
    <w:rsid w:val="0021615D"/>
    <w:rsid w:val="002164E9"/>
    <w:rsid w:val="002167E4"/>
    <w:rsid w:val="00216945"/>
    <w:rsid w:val="00217135"/>
    <w:rsid w:val="00217506"/>
    <w:rsid w:val="00217C4D"/>
    <w:rsid w:val="002200AC"/>
    <w:rsid w:val="00220580"/>
    <w:rsid w:val="00221E0C"/>
    <w:rsid w:val="00222AFC"/>
    <w:rsid w:val="00222F51"/>
    <w:rsid w:val="0022380A"/>
    <w:rsid w:val="002238D9"/>
    <w:rsid w:val="00223C0E"/>
    <w:rsid w:val="0022474F"/>
    <w:rsid w:val="0022481D"/>
    <w:rsid w:val="00224A0C"/>
    <w:rsid w:val="00224BB3"/>
    <w:rsid w:val="00224D80"/>
    <w:rsid w:val="00224F19"/>
    <w:rsid w:val="002251ED"/>
    <w:rsid w:val="0022585E"/>
    <w:rsid w:val="002263B5"/>
    <w:rsid w:val="00226796"/>
    <w:rsid w:val="00226BDD"/>
    <w:rsid w:val="0023083C"/>
    <w:rsid w:val="00230956"/>
    <w:rsid w:val="00230A09"/>
    <w:rsid w:val="00230F31"/>
    <w:rsid w:val="00231630"/>
    <w:rsid w:val="00231758"/>
    <w:rsid w:val="00231B19"/>
    <w:rsid w:val="00232296"/>
    <w:rsid w:val="002324B1"/>
    <w:rsid w:val="002328CF"/>
    <w:rsid w:val="00232AA0"/>
    <w:rsid w:val="0023366B"/>
    <w:rsid w:val="002337FC"/>
    <w:rsid w:val="00233D2D"/>
    <w:rsid w:val="00233F72"/>
    <w:rsid w:val="0023450A"/>
    <w:rsid w:val="00234558"/>
    <w:rsid w:val="002348C7"/>
    <w:rsid w:val="00234D0A"/>
    <w:rsid w:val="002352B6"/>
    <w:rsid w:val="002352DA"/>
    <w:rsid w:val="0023543E"/>
    <w:rsid w:val="002356C9"/>
    <w:rsid w:val="00235915"/>
    <w:rsid w:val="00236135"/>
    <w:rsid w:val="00236236"/>
    <w:rsid w:val="002365E5"/>
    <w:rsid w:val="00236712"/>
    <w:rsid w:val="00236A15"/>
    <w:rsid w:val="002371F2"/>
    <w:rsid w:val="0024010E"/>
    <w:rsid w:val="002403F2"/>
    <w:rsid w:val="00240682"/>
    <w:rsid w:val="002409EB"/>
    <w:rsid w:val="00241028"/>
    <w:rsid w:val="00241490"/>
    <w:rsid w:val="002417AD"/>
    <w:rsid w:val="002418EA"/>
    <w:rsid w:val="00241E41"/>
    <w:rsid w:val="00241E62"/>
    <w:rsid w:val="00242250"/>
    <w:rsid w:val="002426F3"/>
    <w:rsid w:val="0024313F"/>
    <w:rsid w:val="00243ADE"/>
    <w:rsid w:val="00243D54"/>
    <w:rsid w:val="002443B6"/>
    <w:rsid w:val="00244812"/>
    <w:rsid w:val="00244AE0"/>
    <w:rsid w:val="00244AE6"/>
    <w:rsid w:val="00245735"/>
    <w:rsid w:val="002459D2"/>
    <w:rsid w:val="0024604F"/>
    <w:rsid w:val="00247349"/>
    <w:rsid w:val="0024744B"/>
    <w:rsid w:val="00247A72"/>
    <w:rsid w:val="00247D7D"/>
    <w:rsid w:val="00250D13"/>
    <w:rsid w:val="00251271"/>
    <w:rsid w:val="002512FB"/>
    <w:rsid w:val="0025152A"/>
    <w:rsid w:val="00251D13"/>
    <w:rsid w:val="00251E2F"/>
    <w:rsid w:val="00251E74"/>
    <w:rsid w:val="002524B5"/>
    <w:rsid w:val="00252D45"/>
    <w:rsid w:val="002537EB"/>
    <w:rsid w:val="002539F4"/>
    <w:rsid w:val="0025412D"/>
    <w:rsid w:val="002541C5"/>
    <w:rsid w:val="00254411"/>
    <w:rsid w:val="00254A7A"/>
    <w:rsid w:val="00255050"/>
    <w:rsid w:val="00255E8D"/>
    <w:rsid w:val="002561AB"/>
    <w:rsid w:val="00256317"/>
    <w:rsid w:val="002566E4"/>
    <w:rsid w:val="002567FC"/>
    <w:rsid w:val="00256978"/>
    <w:rsid w:val="00256CCB"/>
    <w:rsid w:val="0025722D"/>
    <w:rsid w:val="002572BA"/>
    <w:rsid w:val="00257A62"/>
    <w:rsid w:val="00257BEE"/>
    <w:rsid w:val="0026024E"/>
    <w:rsid w:val="00260B1B"/>
    <w:rsid w:val="00260FB3"/>
    <w:rsid w:val="00261E14"/>
    <w:rsid w:val="002625C9"/>
    <w:rsid w:val="00262661"/>
    <w:rsid w:val="002631B5"/>
    <w:rsid w:val="002634D3"/>
    <w:rsid w:val="00263ED9"/>
    <w:rsid w:val="00264241"/>
    <w:rsid w:val="00264BFB"/>
    <w:rsid w:val="002653CB"/>
    <w:rsid w:val="00265951"/>
    <w:rsid w:val="00265C17"/>
    <w:rsid w:val="002663D5"/>
    <w:rsid w:val="00266D55"/>
    <w:rsid w:val="002670BA"/>
    <w:rsid w:val="002675E2"/>
    <w:rsid w:val="002676F7"/>
    <w:rsid w:val="0026780C"/>
    <w:rsid w:val="002678FC"/>
    <w:rsid w:val="00267D76"/>
    <w:rsid w:val="002705E2"/>
    <w:rsid w:val="00270C68"/>
    <w:rsid w:val="00270D1F"/>
    <w:rsid w:val="00270F46"/>
    <w:rsid w:val="002712B3"/>
    <w:rsid w:val="0027130A"/>
    <w:rsid w:val="00271758"/>
    <w:rsid w:val="00272861"/>
    <w:rsid w:val="00272D41"/>
    <w:rsid w:val="00273847"/>
    <w:rsid w:val="00273A88"/>
    <w:rsid w:val="00274F2F"/>
    <w:rsid w:val="002752A2"/>
    <w:rsid w:val="00275340"/>
    <w:rsid w:val="00275455"/>
    <w:rsid w:val="00276304"/>
    <w:rsid w:val="00276580"/>
    <w:rsid w:val="00276C00"/>
    <w:rsid w:val="00277489"/>
    <w:rsid w:val="002776EE"/>
    <w:rsid w:val="00277F0D"/>
    <w:rsid w:val="002804BC"/>
    <w:rsid w:val="00280B4A"/>
    <w:rsid w:val="00280F60"/>
    <w:rsid w:val="00281522"/>
    <w:rsid w:val="0028291C"/>
    <w:rsid w:val="002829BF"/>
    <w:rsid w:val="002831D9"/>
    <w:rsid w:val="0028375F"/>
    <w:rsid w:val="00283C2C"/>
    <w:rsid w:val="00283DFA"/>
    <w:rsid w:val="00284666"/>
    <w:rsid w:val="0028470F"/>
    <w:rsid w:val="002856D3"/>
    <w:rsid w:val="00285D15"/>
    <w:rsid w:val="00285DCD"/>
    <w:rsid w:val="00285E0B"/>
    <w:rsid w:val="00285E2C"/>
    <w:rsid w:val="002868E9"/>
    <w:rsid w:val="00287D37"/>
    <w:rsid w:val="00290548"/>
    <w:rsid w:val="0029157C"/>
    <w:rsid w:val="00291BE0"/>
    <w:rsid w:val="00291CBF"/>
    <w:rsid w:val="00291E2D"/>
    <w:rsid w:val="00291FDE"/>
    <w:rsid w:val="0029233D"/>
    <w:rsid w:val="002929CA"/>
    <w:rsid w:val="00292A7E"/>
    <w:rsid w:val="00292B1A"/>
    <w:rsid w:val="00292ECE"/>
    <w:rsid w:val="00292F64"/>
    <w:rsid w:val="00293871"/>
    <w:rsid w:val="00293CA7"/>
    <w:rsid w:val="00293FBD"/>
    <w:rsid w:val="00294088"/>
    <w:rsid w:val="0029435F"/>
    <w:rsid w:val="002944B4"/>
    <w:rsid w:val="00294797"/>
    <w:rsid w:val="00294A46"/>
    <w:rsid w:val="00294B3C"/>
    <w:rsid w:val="0029542D"/>
    <w:rsid w:val="00295CAB"/>
    <w:rsid w:val="00295E23"/>
    <w:rsid w:val="0029625F"/>
    <w:rsid w:val="002968E8"/>
    <w:rsid w:val="00296D9E"/>
    <w:rsid w:val="002972FA"/>
    <w:rsid w:val="002973A5"/>
    <w:rsid w:val="00297996"/>
    <w:rsid w:val="00297C8B"/>
    <w:rsid w:val="002A00F6"/>
    <w:rsid w:val="002A02C6"/>
    <w:rsid w:val="002A04BB"/>
    <w:rsid w:val="002A0724"/>
    <w:rsid w:val="002A0EF9"/>
    <w:rsid w:val="002A1144"/>
    <w:rsid w:val="002A185E"/>
    <w:rsid w:val="002A2244"/>
    <w:rsid w:val="002A23AE"/>
    <w:rsid w:val="002A26E4"/>
    <w:rsid w:val="002A2AB2"/>
    <w:rsid w:val="002A2E4A"/>
    <w:rsid w:val="002A30A1"/>
    <w:rsid w:val="002A3502"/>
    <w:rsid w:val="002A396D"/>
    <w:rsid w:val="002A3E38"/>
    <w:rsid w:val="002A446E"/>
    <w:rsid w:val="002A4668"/>
    <w:rsid w:val="002A4CEA"/>
    <w:rsid w:val="002A5022"/>
    <w:rsid w:val="002A5120"/>
    <w:rsid w:val="002A5432"/>
    <w:rsid w:val="002A567A"/>
    <w:rsid w:val="002A5763"/>
    <w:rsid w:val="002A5855"/>
    <w:rsid w:val="002A5A22"/>
    <w:rsid w:val="002A5A2C"/>
    <w:rsid w:val="002A60CB"/>
    <w:rsid w:val="002A6A7B"/>
    <w:rsid w:val="002A7218"/>
    <w:rsid w:val="002A78A6"/>
    <w:rsid w:val="002A7D7D"/>
    <w:rsid w:val="002A7D7E"/>
    <w:rsid w:val="002B01F1"/>
    <w:rsid w:val="002B082D"/>
    <w:rsid w:val="002B09D8"/>
    <w:rsid w:val="002B183C"/>
    <w:rsid w:val="002B2017"/>
    <w:rsid w:val="002B22D7"/>
    <w:rsid w:val="002B2C8A"/>
    <w:rsid w:val="002B2D3A"/>
    <w:rsid w:val="002B2D40"/>
    <w:rsid w:val="002B349C"/>
    <w:rsid w:val="002B3650"/>
    <w:rsid w:val="002B3DA8"/>
    <w:rsid w:val="002B3FD3"/>
    <w:rsid w:val="002B43E8"/>
    <w:rsid w:val="002B46BE"/>
    <w:rsid w:val="002B4920"/>
    <w:rsid w:val="002B4B2C"/>
    <w:rsid w:val="002B5255"/>
    <w:rsid w:val="002B5415"/>
    <w:rsid w:val="002B54C5"/>
    <w:rsid w:val="002B5F9B"/>
    <w:rsid w:val="002B63C5"/>
    <w:rsid w:val="002B649E"/>
    <w:rsid w:val="002B66FC"/>
    <w:rsid w:val="002B693F"/>
    <w:rsid w:val="002B72F2"/>
    <w:rsid w:val="002B76E0"/>
    <w:rsid w:val="002B7751"/>
    <w:rsid w:val="002B7B01"/>
    <w:rsid w:val="002C0495"/>
    <w:rsid w:val="002C086D"/>
    <w:rsid w:val="002C1269"/>
    <w:rsid w:val="002C176C"/>
    <w:rsid w:val="002C1792"/>
    <w:rsid w:val="002C19FE"/>
    <w:rsid w:val="002C1BB5"/>
    <w:rsid w:val="002C252B"/>
    <w:rsid w:val="002C2BA6"/>
    <w:rsid w:val="002C2F86"/>
    <w:rsid w:val="002C2F9E"/>
    <w:rsid w:val="002C399D"/>
    <w:rsid w:val="002C4BDE"/>
    <w:rsid w:val="002C4D3F"/>
    <w:rsid w:val="002C4D68"/>
    <w:rsid w:val="002C5050"/>
    <w:rsid w:val="002C5211"/>
    <w:rsid w:val="002C6DE2"/>
    <w:rsid w:val="002C6E77"/>
    <w:rsid w:val="002C6E7B"/>
    <w:rsid w:val="002C7277"/>
    <w:rsid w:val="002C7783"/>
    <w:rsid w:val="002D0845"/>
    <w:rsid w:val="002D0D7C"/>
    <w:rsid w:val="002D1A4A"/>
    <w:rsid w:val="002D1DCA"/>
    <w:rsid w:val="002D1F9A"/>
    <w:rsid w:val="002D21F3"/>
    <w:rsid w:val="002D2813"/>
    <w:rsid w:val="002D2BC0"/>
    <w:rsid w:val="002D47DB"/>
    <w:rsid w:val="002D4D51"/>
    <w:rsid w:val="002D4F0E"/>
    <w:rsid w:val="002D5003"/>
    <w:rsid w:val="002D64EA"/>
    <w:rsid w:val="002D687D"/>
    <w:rsid w:val="002D6934"/>
    <w:rsid w:val="002D70C3"/>
    <w:rsid w:val="002D75DC"/>
    <w:rsid w:val="002D7BAC"/>
    <w:rsid w:val="002E00EB"/>
    <w:rsid w:val="002E02D0"/>
    <w:rsid w:val="002E06B2"/>
    <w:rsid w:val="002E0810"/>
    <w:rsid w:val="002E0896"/>
    <w:rsid w:val="002E0B0B"/>
    <w:rsid w:val="002E111F"/>
    <w:rsid w:val="002E1267"/>
    <w:rsid w:val="002E1897"/>
    <w:rsid w:val="002E1B96"/>
    <w:rsid w:val="002E1D82"/>
    <w:rsid w:val="002E22DD"/>
    <w:rsid w:val="002E2943"/>
    <w:rsid w:val="002E2F0F"/>
    <w:rsid w:val="002E3160"/>
    <w:rsid w:val="002E349C"/>
    <w:rsid w:val="002E3D6D"/>
    <w:rsid w:val="002E40DC"/>
    <w:rsid w:val="002E4D77"/>
    <w:rsid w:val="002E4DD7"/>
    <w:rsid w:val="002E4FB2"/>
    <w:rsid w:val="002E5D17"/>
    <w:rsid w:val="002E5DDA"/>
    <w:rsid w:val="002E6309"/>
    <w:rsid w:val="002E7040"/>
    <w:rsid w:val="002E7D96"/>
    <w:rsid w:val="002F0218"/>
    <w:rsid w:val="002F0718"/>
    <w:rsid w:val="002F08D8"/>
    <w:rsid w:val="002F0995"/>
    <w:rsid w:val="002F0CDC"/>
    <w:rsid w:val="002F204C"/>
    <w:rsid w:val="002F336E"/>
    <w:rsid w:val="002F33D2"/>
    <w:rsid w:val="002F3D68"/>
    <w:rsid w:val="002F5BC9"/>
    <w:rsid w:val="002F5E04"/>
    <w:rsid w:val="002F63AB"/>
    <w:rsid w:val="002F65FD"/>
    <w:rsid w:val="002F681F"/>
    <w:rsid w:val="002F7152"/>
    <w:rsid w:val="002F7D60"/>
    <w:rsid w:val="003006BB"/>
    <w:rsid w:val="00300914"/>
    <w:rsid w:val="00300974"/>
    <w:rsid w:val="003015AC"/>
    <w:rsid w:val="003016CB"/>
    <w:rsid w:val="00301FC4"/>
    <w:rsid w:val="00302562"/>
    <w:rsid w:val="00302734"/>
    <w:rsid w:val="003027D4"/>
    <w:rsid w:val="00302B5A"/>
    <w:rsid w:val="00302C19"/>
    <w:rsid w:val="00303397"/>
    <w:rsid w:val="00303AFE"/>
    <w:rsid w:val="00303EF7"/>
    <w:rsid w:val="00304519"/>
    <w:rsid w:val="00305231"/>
    <w:rsid w:val="003054B4"/>
    <w:rsid w:val="003055A0"/>
    <w:rsid w:val="00306A53"/>
    <w:rsid w:val="00306D5D"/>
    <w:rsid w:val="00307992"/>
    <w:rsid w:val="00307A65"/>
    <w:rsid w:val="00307B87"/>
    <w:rsid w:val="00307D88"/>
    <w:rsid w:val="0031068A"/>
    <w:rsid w:val="0031185D"/>
    <w:rsid w:val="00312FE1"/>
    <w:rsid w:val="0031327A"/>
    <w:rsid w:val="003137F9"/>
    <w:rsid w:val="00313BE4"/>
    <w:rsid w:val="00313E88"/>
    <w:rsid w:val="00314092"/>
    <w:rsid w:val="0031436E"/>
    <w:rsid w:val="00314CEC"/>
    <w:rsid w:val="00314DCA"/>
    <w:rsid w:val="00314EC1"/>
    <w:rsid w:val="0031502F"/>
    <w:rsid w:val="003150A5"/>
    <w:rsid w:val="003150C8"/>
    <w:rsid w:val="0031583E"/>
    <w:rsid w:val="00315D76"/>
    <w:rsid w:val="00315D9B"/>
    <w:rsid w:val="00315FC8"/>
    <w:rsid w:val="00316278"/>
    <w:rsid w:val="003163AD"/>
    <w:rsid w:val="00316430"/>
    <w:rsid w:val="003165D9"/>
    <w:rsid w:val="00316878"/>
    <w:rsid w:val="00316D8C"/>
    <w:rsid w:val="00316F54"/>
    <w:rsid w:val="00317247"/>
    <w:rsid w:val="003172D9"/>
    <w:rsid w:val="003175C8"/>
    <w:rsid w:val="00317661"/>
    <w:rsid w:val="0031782F"/>
    <w:rsid w:val="00320545"/>
    <w:rsid w:val="00320761"/>
    <w:rsid w:val="00320956"/>
    <w:rsid w:val="00320A6F"/>
    <w:rsid w:val="00320EFB"/>
    <w:rsid w:val="00321800"/>
    <w:rsid w:val="003219C6"/>
    <w:rsid w:val="003222A6"/>
    <w:rsid w:val="00322934"/>
    <w:rsid w:val="00322AC3"/>
    <w:rsid w:val="00323593"/>
    <w:rsid w:val="003237B7"/>
    <w:rsid w:val="00324CC7"/>
    <w:rsid w:val="00325FE8"/>
    <w:rsid w:val="0032637C"/>
    <w:rsid w:val="00330136"/>
    <w:rsid w:val="00330301"/>
    <w:rsid w:val="003304DC"/>
    <w:rsid w:val="00330643"/>
    <w:rsid w:val="00330A14"/>
    <w:rsid w:val="00330A36"/>
    <w:rsid w:val="00330B62"/>
    <w:rsid w:val="00330ECB"/>
    <w:rsid w:val="00331645"/>
    <w:rsid w:val="00331794"/>
    <w:rsid w:val="003318D8"/>
    <w:rsid w:val="00332397"/>
    <w:rsid w:val="00333008"/>
    <w:rsid w:val="00333173"/>
    <w:rsid w:val="003333EC"/>
    <w:rsid w:val="00333619"/>
    <w:rsid w:val="00333811"/>
    <w:rsid w:val="003338AD"/>
    <w:rsid w:val="00333C2B"/>
    <w:rsid w:val="00334CF0"/>
    <w:rsid w:val="00334D40"/>
    <w:rsid w:val="00334FD1"/>
    <w:rsid w:val="00335813"/>
    <w:rsid w:val="003361BA"/>
    <w:rsid w:val="0033655F"/>
    <w:rsid w:val="00336935"/>
    <w:rsid w:val="00336A5A"/>
    <w:rsid w:val="00336A7B"/>
    <w:rsid w:val="00336C56"/>
    <w:rsid w:val="003375C0"/>
    <w:rsid w:val="003377ED"/>
    <w:rsid w:val="00337822"/>
    <w:rsid w:val="00337AAC"/>
    <w:rsid w:val="00337AD7"/>
    <w:rsid w:val="00337B71"/>
    <w:rsid w:val="003404A2"/>
    <w:rsid w:val="00340F92"/>
    <w:rsid w:val="00341396"/>
    <w:rsid w:val="00341655"/>
    <w:rsid w:val="00342678"/>
    <w:rsid w:val="0034375E"/>
    <w:rsid w:val="00343A9F"/>
    <w:rsid w:val="0034429F"/>
    <w:rsid w:val="00344511"/>
    <w:rsid w:val="00344563"/>
    <w:rsid w:val="00344684"/>
    <w:rsid w:val="003449A0"/>
    <w:rsid w:val="00344FAB"/>
    <w:rsid w:val="00345B8B"/>
    <w:rsid w:val="003463D7"/>
    <w:rsid w:val="00346D19"/>
    <w:rsid w:val="00346D66"/>
    <w:rsid w:val="00346DA1"/>
    <w:rsid w:val="003475C2"/>
    <w:rsid w:val="00347F00"/>
    <w:rsid w:val="00350090"/>
    <w:rsid w:val="00350281"/>
    <w:rsid w:val="00350507"/>
    <w:rsid w:val="00350706"/>
    <w:rsid w:val="00350F58"/>
    <w:rsid w:val="00351869"/>
    <w:rsid w:val="00351927"/>
    <w:rsid w:val="003521FE"/>
    <w:rsid w:val="003524FF"/>
    <w:rsid w:val="003530AD"/>
    <w:rsid w:val="00353196"/>
    <w:rsid w:val="00353373"/>
    <w:rsid w:val="003533B5"/>
    <w:rsid w:val="003536F3"/>
    <w:rsid w:val="00353C40"/>
    <w:rsid w:val="00354017"/>
    <w:rsid w:val="00354035"/>
    <w:rsid w:val="00354859"/>
    <w:rsid w:val="00354931"/>
    <w:rsid w:val="003549DF"/>
    <w:rsid w:val="00354F5A"/>
    <w:rsid w:val="003554EB"/>
    <w:rsid w:val="003555BA"/>
    <w:rsid w:val="00355920"/>
    <w:rsid w:val="00355C9F"/>
    <w:rsid w:val="00356843"/>
    <w:rsid w:val="00356A93"/>
    <w:rsid w:val="00357728"/>
    <w:rsid w:val="00357A51"/>
    <w:rsid w:val="0036066B"/>
    <w:rsid w:val="00360843"/>
    <w:rsid w:val="0036084C"/>
    <w:rsid w:val="00360893"/>
    <w:rsid w:val="0036128D"/>
    <w:rsid w:val="003613D9"/>
    <w:rsid w:val="003615B7"/>
    <w:rsid w:val="00361E73"/>
    <w:rsid w:val="00361FFC"/>
    <w:rsid w:val="0036206E"/>
    <w:rsid w:val="003622DE"/>
    <w:rsid w:val="00362304"/>
    <w:rsid w:val="003629D7"/>
    <w:rsid w:val="00362D29"/>
    <w:rsid w:val="0036335E"/>
    <w:rsid w:val="00364EE2"/>
    <w:rsid w:val="003650A1"/>
    <w:rsid w:val="003657DE"/>
    <w:rsid w:val="003658F0"/>
    <w:rsid w:val="00365B3E"/>
    <w:rsid w:val="00365F05"/>
    <w:rsid w:val="00366052"/>
    <w:rsid w:val="003663E9"/>
    <w:rsid w:val="00367163"/>
    <w:rsid w:val="00367995"/>
    <w:rsid w:val="00367B81"/>
    <w:rsid w:val="00367EB0"/>
    <w:rsid w:val="00370FAC"/>
    <w:rsid w:val="003710A6"/>
    <w:rsid w:val="003716AA"/>
    <w:rsid w:val="00372083"/>
    <w:rsid w:val="0037231C"/>
    <w:rsid w:val="00372748"/>
    <w:rsid w:val="00372963"/>
    <w:rsid w:val="00372D01"/>
    <w:rsid w:val="003737EB"/>
    <w:rsid w:val="00373EAD"/>
    <w:rsid w:val="00374617"/>
    <w:rsid w:val="00374A6E"/>
    <w:rsid w:val="00374F00"/>
    <w:rsid w:val="00375289"/>
    <w:rsid w:val="003754B6"/>
    <w:rsid w:val="003759F8"/>
    <w:rsid w:val="003765DD"/>
    <w:rsid w:val="00376B43"/>
    <w:rsid w:val="00377139"/>
    <w:rsid w:val="003778D9"/>
    <w:rsid w:val="0038032D"/>
    <w:rsid w:val="00380594"/>
    <w:rsid w:val="00380845"/>
    <w:rsid w:val="00380E6C"/>
    <w:rsid w:val="00380F43"/>
    <w:rsid w:val="0038105F"/>
    <w:rsid w:val="00381F64"/>
    <w:rsid w:val="0038314B"/>
    <w:rsid w:val="00383256"/>
    <w:rsid w:val="00383442"/>
    <w:rsid w:val="0038349F"/>
    <w:rsid w:val="00383DE9"/>
    <w:rsid w:val="00383F05"/>
    <w:rsid w:val="0038445F"/>
    <w:rsid w:val="0038481F"/>
    <w:rsid w:val="00384D13"/>
    <w:rsid w:val="00384D5E"/>
    <w:rsid w:val="00384E7D"/>
    <w:rsid w:val="003853EE"/>
    <w:rsid w:val="0038566F"/>
    <w:rsid w:val="00385773"/>
    <w:rsid w:val="003857DA"/>
    <w:rsid w:val="00385ADB"/>
    <w:rsid w:val="00385C8C"/>
    <w:rsid w:val="0038621A"/>
    <w:rsid w:val="003862E0"/>
    <w:rsid w:val="00386643"/>
    <w:rsid w:val="00387015"/>
    <w:rsid w:val="003871A8"/>
    <w:rsid w:val="003873B7"/>
    <w:rsid w:val="00387448"/>
    <w:rsid w:val="00387E98"/>
    <w:rsid w:val="0039040E"/>
    <w:rsid w:val="003904D7"/>
    <w:rsid w:val="003913FF"/>
    <w:rsid w:val="00391B3A"/>
    <w:rsid w:val="0039249C"/>
    <w:rsid w:val="0039283D"/>
    <w:rsid w:val="0039296B"/>
    <w:rsid w:val="00392D66"/>
    <w:rsid w:val="00392EB7"/>
    <w:rsid w:val="00392F77"/>
    <w:rsid w:val="003940CC"/>
    <w:rsid w:val="00394923"/>
    <w:rsid w:val="003952FF"/>
    <w:rsid w:val="0039639D"/>
    <w:rsid w:val="003964C6"/>
    <w:rsid w:val="003967F0"/>
    <w:rsid w:val="00396DB6"/>
    <w:rsid w:val="00396F82"/>
    <w:rsid w:val="003A0067"/>
    <w:rsid w:val="003A0561"/>
    <w:rsid w:val="003A06AB"/>
    <w:rsid w:val="003A14AC"/>
    <w:rsid w:val="003A1A75"/>
    <w:rsid w:val="003A249F"/>
    <w:rsid w:val="003A274E"/>
    <w:rsid w:val="003A28C5"/>
    <w:rsid w:val="003A2F7A"/>
    <w:rsid w:val="003A3C62"/>
    <w:rsid w:val="003A3E79"/>
    <w:rsid w:val="003A4272"/>
    <w:rsid w:val="003A4CA4"/>
    <w:rsid w:val="003A5794"/>
    <w:rsid w:val="003A58AF"/>
    <w:rsid w:val="003A593E"/>
    <w:rsid w:val="003A5AF3"/>
    <w:rsid w:val="003A5F91"/>
    <w:rsid w:val="003A65B0"/>
    <w:rsid w:val="003A6F26"/>
    <w:rsid w:val="003A7093"/>
    <w:rsid w:val="003B05A6"/>
    <w:rsid w:val="003B0AF2"/>
    <w:rsid w:val="003B0DEA"/>
    <w:rsid w:val="003B10C0"/>
    <w:rsid w:val="003B12B6"/>
    <w:rsid w:val="003B12F0"/>
    <w:rsid w:val="003B189C"/>
    <w:rsid w:val="003B19FD"/>
    <w:rsid w:val="003B1D93"/>
    <w:rsid w:val="003B2CB9"/>
    <w:rsid w:val="003B30F8"/>
    <w:rsid w:val="003B38D9"/>
    <w:rsid w:val="003B3EBB"/>
    <w:rsid w:val="003B4540"/>
    <w:rsid w:val="003B45E6"/>
    <w:rsid w:val="003B4672"/>
    <w:rsid w:val="003B46AA"/>
    <w:rsid w:val="003B46F6"/>
    <w:rsid w:val="003B4A93"/>
    <w:rsid w:val="003B4C17"/>
    <w:rsid w:val="003B50FA"/>
    <w:rsid w:val="003B57B9"/>
    <w:rsid w:val="003B7A69"/>
    <w:rsid w:val="003B7D1B"/>
    <w:rsid w:val="003C09FA"/>
    <w:rsid w:val="003C1219"/>
    <w:rsid w:val="003C15C5"/>
    <w:rsid w:val="003C1B04"/>
    <w:rsid w:val="003C3652"/>
    <w:rsid w:val="003C3ABC"/>
    <w:rsid w:val="003C4494"/>
    <w:rsid w:val="003C4A37"/>
    <w:rsid w:val="003C4E79"/>
    <w:rsid w:val="003C5332"/>
    <w:rsid w:val="003C55D9"/>
    <w:rsid w:val="003C5983"/>
    <w:rsid w:val="003C5CFF"/>
    <w:rsid w:val="003C5E03"/>
    <w:rsid w:val="003C6368"/>
    <w:rsid w:val="003C6C9A"/>
    <w:rsid w:val="003C6F73"/>
    <w:rsid w:val="003C7481"/>
    <w:rsid w:val="003C75BC"/>
    <w:rsid w:val="003C7DEF"/>
    <w:rsid w:val="003C7E98"/>
    <w:rsid w:val="003D0025"/>
    <w:rsid w:val="003D04EE"/>
    <w:rsid w:val="003D0A0C"/>
    <w:rsid w:val="003D0A9F"/>
    <w:rsid w:val="003D1113"/>
    <w:rsid w:val="003D13B1"/>
    <w:rsid w:val="003D1CFA"/>
    <w:rsid w:val="003D260F"/>
    <w:rsid w:val="003D2B69"/>
    <w:rsid w:val="003D2E30"/>
    <w:rsid w:val="003D3FC1"/>
    <w:rsid w:val="003D4004"/>
    <w:rsid w:val="003D43D8"/>
    <w:rsid w:val="003D5215"/>
    <w:rsid w:val="003D547B"/>
    <w:rsid w:val="003D54CB"/>
    <w:rsid w:val="003D5603"/>
    <w:rsid w:val="003D5956"/>
    <w:rsid w:val="003D5B1C"/>
    <w:rsid w:val="003D5C3E"/>
    <w:rsid w:val="003D6118"/>
    <w:rsid w:val="003D7524"/>
    <w:rsid w:val="003D7FB6"/>
    <w:rsid w:val="003E0776"/>
    <w:rsid w:val="003E0797"/>
    <w:rsid w:val="003E15AE"/>
    <w:rsid w:val="003E2546"/>
    <w:rsid w:val="003E2748"/>
    <w:rsid w:val="003E3B17"/>
    <w:rsid w:val="003E3D2B"/>
    <w:rsid w:val="003E41BA"/>
    <w:rsid w:val="003E44C4"/>
    <w:rsid w:val="003E4A5D"/>
    <w:rsid w:val="003E4C5A"/>
    <w:rsid w:val="003E4FA5"/>
    <w:rsid w:val="003E510F"/>
    <w:rsid w:val="003E6E47"/>
    <w:rsid w:val="003E7585"/>
    <w:rsid w:val="003E7A9E"/>
    <w:rsid w:val="003E7C1C"/>
    <w:rsid w:val="003E7D7E"/>
    <w:rsid w:val="003F0114"/>
    <w:rsid w:val="003F07D6"/>
    <w:rsid w:val="003F0ED0"/>
    <w:rsid w:val="003F21A1"/>
    <w:rsid w:val="003F3720"/>
    <w:rsid w:val="003F3922"/>
    <w:rsid w:val="003F41D4"/>
    <w:rsid w:val="003F4D48"/>
    <w:rsid w:val="003F520C"/>
    <w:rsid w:val="003F586C"/>
    <w:rsid w:val="003F5BAA"/>
    <w:rsid w:val="003F5DC6"/>
    <w:rsid w:val="003F67E5"/>
    <w:rsid w:val="003F6978"/>
    <w:rsid w:val="003F78F3"/>
    <w:rsid w:val="0040023F"/>
    <w:rsid w:val="00401096"/>
    <w:rsid w:val="00401226"/>
    <w:rsid w:val="00401438"/>
    <w:rsid w:val="00401547"/>
    <w:rsid w:val="00401748"/>
    <w:rsid w:val="0040181B"/>
    <w:rsid w:val="00401B8E"/>
    <w:rsid w:val="00401DBC"/>
    <w:rsid w:val="00401E99"/>
    <w:rsid w:val="00402322"/>
    <w:rsid w:val="004024D6"/>
    <w:rsid w:val="00402C94"/>
    <w:rsid w:val="00402CBA"/>
    <w:rsid w:val="00402FAE"/>
    <w:rsid w:val="004034E3"/>
    <w:rsid w:val="0040390E"/>
    <w:rsid w:val="004039DE"/>
    <w:rsid w:val="00403AC6"/>
    <w:rsid w:val="00403FCF"/>
    <w:rsid w:val="00404039"/>
    <w:rsid w:val="004040B7"/>
    <w:rsid w:val="004040D0"/>
    <w:rsid w:val="00404DBA"/>
    <w:rsid w:val="004051E9"/>
    <w:rsid w:val="0040571B"/>
    <w:rsid w:val="00406188"/>
    <w:rsid w:val="0040618E"/>
    <w:rsid w:val="0040652C"/>
    <w:rsid w:val="004065CB"/>
    <w:rsid w:val="00406623"/>
    <w:rsid w:val="00407459"/>
    <w:rsid w:val="00407819"/>
    <w:rsid w:val="0041194A"/>
    <w:rsid w:val="004119CE"/>
    <w:rsid w:val="0041206B"/>
    <w:rsid w:val="00412212"/>
    <w:rsid w:val="00412A58"/>
    <w:rsid w:val="00412CF0"/>
    <w:rsid w:val="00413481"/>
    <w:rsid w:val="00414A79"/>
    <w:rsid w:val="00415780"/>
    <w:rsid w:val="00415EC0"/>
    <w:rsid w:val="004168DB"/>
    <w:rsid w:val="00417018"/>
    <w:rsid w:val="00417257"/>
    <w:rsid w:val="00417792"/>
    <w:rsid w:val="004178E3"/>
    <w:rsid w:val="00417AC8"/>
    <w:rsid w:val="00417EF7"/>
    <w:rsid w:val="00420E98"/>
    <w:rsid w:val="00421096"/>
    <w:rsid w:val="00421398"/>
    <w:rsid w:val="0042161B"/>
    <w:rsid w:val="004217B9"/>
    <w:rsid w:val="00421861"/>
    <w:rsid w:val="004221ED"/>
    <w:rsid w:val="0042258A"/>
    <w:rsid w:val="00422A24"/>
    <w:rsid w:val="00422F48"/>
    <w:rsid w:val="00423056"/>
    <w:rsid w:val="00423CDB"/>
    <w:rsid w:val="00423CFB"/>
    <w:rsid w:val="00423E6B"/>
    <w:rsid w:val="00424CE1"/>
    <w:rsid w:val="00425128"/>
    <w:rsid w:val="00425269"/>
    <w:rsid w:val="0042584C"/>
    <w:rsid w:val="00425A2C"/>
    <w:rsid w:val="00425FB9"/>
    <w:rsid w:val="00426231"/>
    <w:rsid w:val="004268B7"/>
    <w:rsid w:val="004272CD"/>
    <w:rsid w:val="00427542"/>
    <w:rsid w:val="00427551"/>
    <w:rsid w:val="0042787D"/>
    <w:rsid w:val="00427A60"/>
    <w:rsid w:val="00430696"/>
    <w:rsid w:val="00430984"/>
    <w:rsid w:val="00430F16"/>
    <w:rsid w:val="00431383"/>
    <w:rsid w:val="00431727"/>
    <w:rsid w:val="00432A38"/>
    <w:rsid w:val="00432AEF"/>
    <w:rsid w:val="00432CB5"/>
    <w:rsid w:val="00432D89"/>
    <w:rsid w:val="00432F51"/>
    <w:rsid w:val="00434418"/>
    <w:rsid w:val="004346DF"/>
    <w:rsid w:val="00435036"/>
    <w:rsid w:val="00435486"/>
    <w:rsid w:val="004356D9"/>
    <w:rsid w:val="00436CB0"/>
    <w:rsid w:val="004374A8"/>
    <w:rsid w:val="004377C4"/>
    <w:rsid w:val="004379F5"/>
    <w:rsid w:val="00437DA3"/>
    <w:rsid w:val="00437DE9"/>
    <w:rsid w:val="00440953"/>
    <w:rsid w:val="00442B85"/>
    <w:rsid w:val="004431B6"/>
    <w:rsid w:val="004436C0"/>
    <w:rsid w:val="0044389D"/>
    <w:rsid w:val="004438EF"/>
    <w:rsid w:val="00443C0D"/>
    <w:rsid w:val="00444081"/>
    <w:rsid w:val="004441CA"/>
    <w:rsid w:val="0044437B"/>
    <w:rsid w:val="00444F06"/>
    <w:rsid w:val="0044523B"/>
    <w:rsid w:val="004463CB"/>
    <w:rsid w:val="0044656F"/>
    <w:rsid w:val="00446E73"/>
    <w:rsid w:val="00446F4B"/>
    <w:rsid w:val="004472FE"/>
    <w:rsid w:val="0044789A"/>
    <w:rsid w:val="00447DB0"/>
    <w:rsid w:val="00447E68"/>
    <w:rsid w:val="00447F72"/>
    <w:rsid w:val="004502F7"/>
    <w:rsid w:val="004508FF"/>
    <w:rsid w:val="0045133D"/>
    <w:rsid w:val="0045182E"/>
    <w:rsid w:val="00451A09"/>
    <w:rsid w:val="00451A11"/>
    <w:rsid w:val="00451CC2"/>
    <w:rsid w:val="0045260E"/>
    <w:rsid w:val="00452F26"/>
    <w:rsid w:val="00453342"/>
    <w:rsid w:val="004539C8"/>
    <w:rsid w:val="00453A60"/>
    <w:rsid w:val="004545E0"/>
    <w:rsid w:val="00454727"/>
    <w:rsid w:val="00454EA2"/>
    <w:rsid w:val="004551C4"/>
    <w:rsid w:val="0045552E"/>
    <w:rsid w:val="004556B6"/>
    <w:rsid w:val="00455B1C"/>
    <w:rsid w:val="00455B86"/>
    <w:rsid w:val="00455D5F"/>
    <w:rsid w:val="00455EF5"/>
    <w:rsid w:val="00457A94"/>
    <w:rsid w:val="00457C4A"/>
    <w:rsid w:val="004600FB"/>
    <w:rsid w:val="004608F7"/>
    <w:rsid w:val="00460C2A"/>
    <w:rsid w:val="00460C78"/>
    <w:rsid w:val="004611BC"/>
    <w:rsid w:val="00461C6E"/>
    <w:rsid w:val="00462A1B"/>
    <w:rsid w:val="00462E22"/>
    <w:rsid w:val="00463017"/>
    <w:rsid w:val="004635E3"/>
    <w:rsid w:val="00463896"/>
    <w:rsid w:val="004639E6"/>
    <w:rsid w:val="00464008"/>
    <w:rsid w:val="00464196"/>
    <w:rsid w:val="004647F3"/>
    <w:rsid w:val="00464DB3"/>
    <w:rsid w:val="00464E4A"/>
    <w:rsid w:val="00465174"/>
    <w:rsid w:val="004653A8"/>
    <w:rsid w:val="004653AB"/>
    <w:rsid w:val="0046575B"/>
    <w:rsid w:val="004672C9"/>
    <w:rsid w:val="004675D6"/>
    <w:rsid w:val="004678B7"/>
    <w:rsid w:val="00467959"/>
    <w:rsid w:val="00471150"/>
    <w:rsid w:val="00471369"/>
    <w:rsid w:val="00471788"/>
    <w:rsid w:val="00471E6E"/>
    <w:rsid w:val="00472E8C"/>
    <w:rsid w:val="004739A8"/>
    <w:rsid w:val="00474144"/>
    <w:rsid w:val="00474352"/>
    <w:rsid w:val="004745AF"/>
    <w:rsid w:val="00474D9D"/>
    <w:rsid w:val="004756AE"/>
    <w:rsid w:val="00475F0B"/>
    <w:rsid w:val="00475F6E"/>
    <w:rsid w:val="004762EA"/>
    <w:rsid w:val="00476546"/>
    <w:rsid w:val="004766B2"/>
    <w:rsid w:val="00476900"/>
    <w:rsid w:val="004770DC"/>
    <w:rsid w:val="00477986"/>
    <w:rsid w:val="00477BEA"/>
    <w:rsid w:val="004807D0"/>
    <w:rsid w:val="00481550"/>
    <w:rsid w:val="0048240B"/>
    <w:rsid w:val="00482572"/>
    <w:rsid w:val="004825A8"/>
    <w:rsid w:val="004827C3"/>
    <w:rsid w:val="00483315"/>
    <w:rsid w:val="00483933"/>
    <w:rsid w:val="00483A42"/>
    <w:rsid w:val="00483AA4"/>
    <w:rsid w:val="00483DF9"/>
    <w:rsid w:val="0048432B"/>
    <w:rsid w:val="00484379"/>
    <w:rsid w:val="004844DC"/>
    <w:rsid w:val="0048458D"/>
    <w:rsid w:val="00484FD9"/>
    <w:rsid w:val="00485387"/>
    <w:rsid w:val="00485D35"/>
    <w:rsid w:val="00486889"/>
    <w:rsid w:val="00486983"/>
    <w:rsid w:val="00486A8C"/>
    <w:rsid w:val="00486CA0"/>
    <w:rsid w:val="004874DF"/>
    <w:rsid w:val="00487FF2"/>
    <w:rsid w:val="004905EE"/>
    <w:rsid w:val="00491160"/>
    <w:rsid w:val="00491561"/>
    <w:rsid w:val="00491668"/>
    <w:rsid w:val="00491A91"/>
    <w:rsid w:val="004920E2"/>
    <w:rsid w:val="00492630"/>
    <w:rsid w:val="004932B3"/>
    <w:rsid w:val="00493D01"/>
    <w:rsid w:val="00494028"/>
    <w:rsid w:val="00494A75"/>
    <w:rsid w:val="00494DC8"/>
    <w:rsid w:val="004956C0"/>
    <w:rsid w:val="00495C87"/>
    <w:rsid w:val="00495E3E"/>
    <w:rsid w:val="00495EF2"/>
    <w:rsid w:val="0049619A"/>
    <w:rsid w:val="00496E60"/>
    <w:rsid w:val="00497438"/>
    <w:rsid w:val="00497628"/>
    <w:rsid w:val="00497F19"/>
    <w:rsid w:val="004A050A"/>
    <w:rsid w:val="004A1419"/>
    <w:rsid w:val="004A17C2"/>
    <w:rsid w:val="004A1951"/>
    <w:rsid w:val="004A2277"/>
    <w:rsid w:val="004A2499"/>
    <w:rsid w:val="004A2BCE"/>
    <w:rsid w:val="004A36F8"/>
    <w:rsid w:val="004A424B"/>
    <w:rsid w:val="004A4296"/>
    <w:rsid w:val="004A4356"/>
    <w:rsid w:val="004A465C"/>
    <w:rsid w:val="004A4D85"/>
    <w:rsid w:val="004A5F0F"/>
    <w:rsid w:val="004A60FD"/>
    <w:rsid w:val="004A6322"/>
    <w:rsid w:val="004A66CF"/>
    <w:rsid w:val="004A6A26"/>
    <w:rsid w:val="004A6D32"/>
    <w:rsid w:val="004A6FFA"/>
    <w:rsid w:val="004A7021"/>
    <w:rsid w:val="004B00A9"/>
    <w:rsid w:val="004B0774"/>
    <w:rsid w:val="004B0943"/>
    <w:rsid w:val="004B1547"/>
    <w:rsid w:val="004B1574"/>
    <w:rsid w:val="004B19C7"/>
    <w:rsid w:val="004B1E3C"/>
    <w:rsid w:val="004B205B"/>
    <w:rsid w:val="004B214F"/>
    <w:rsid w:val="004B2A9F"/>
    <w:rsid w:val="004B2F45"/>
    <w:rsid w:val="004B3446"/>
    <w:rsid w:val="004B420F"/>
    <w:rsid w:val="004B4412"/>
    <w:rsid w:val="004B5878"/>
    <w:rsid w:val="004B6259"/>
    <w:rsid w:val="004B70FA"/>
    <w:rsid w:val="004B7BCE"/>
    <w:rsid w:val="004C0C3F"/>
    <w:rsid w:val="004C0D9C"/>
    <w:rsid w:val="004C10E6"/>
    <w:rsid w:val="004C16BB"/>
    <w:rsid w:val="004C1C58"/>
    <w:rsid w:val="004C2A67"/>
    <w:rsid w:val="004C2E77"/>
    <w:rsid w:val="004C2F51"/>
    <w:rsid w:val="004C2F6B"/>
    <w:rsid w:val="004C389F"/>
    <w:rsid w:val="004C3F9A"/>
    <w:rsid w:val="004C491C"/>
    <w:rsid w:val="004C4EB6"/>
    <w:rsid w:val="004C5537"/>
    <w:rsid w:val="004C56F4"/>
    <w:rsid w:val="004C60DE"/>
    <w:rsid w:val="004C666F"/>
    <w:rsid w:val="004C71A0"/>
    <w:rsid w:val="004C71E9"/>
    <w:rsid w:val="004C7A7D"/>
    <w:rsid w:val="004D0424"/>
    <w:rsid w:val="004D04E1"/>
    <w:rsid w:val="004D08F0"/>
    <w:rsid w:val="004D219E"/>
    <w:rsid w:val="004D2CF9"/>
    <w:rsid w:val="004D2D85"/>
    <w:rsid w:val="004D3AEE"/>
    <w:rsid w:val="004D3BE7"/>
    <w:rsid w:val="004D408C"/>
    <w:rsid w:val="004D4673"/>
    <w:rsid w:val="004D469B"/>
    <w:rsid w:val="004D4A98"/>
    <w:rsid w:val="004D5AE5"/>
    <w:rsid w:val="004D7548"/>
    <w:rsid w:val="004D7609"/>
    <w:rsid w:val="004E075C"/>
    <w:rsid w:val="004E19C7"/>
    <w:rsid w:val="004E1C29"/>
    <w:rsid w:val="004E2108"/>
    <w:rsid w:val="004E2AB6"/>
    <w:rsid w:val="004E2B1B"/>
    <w:rsid w:val="004E2BFF"/>
    <w:rsid w:val="004E2FF3"/>
    <w:rsid w:val="004E32D6"/>
    <w:rsid w:val="004E34F1"/>
    <w:rsid w:val="004E35AF"/>
    <w:rsid w:val="004E38B5"/>
    <w:rsid w:val="004E399D"/>
    <w:rsid w:val="004E3AB5"/>
    <w:rsid w:val="004E444D"/>
    <w:rsid w:val="004E4F5E"/>
    <w:rsid w:val="004E5057"/>
    <w:rsid w:val="004E52C1"/>
    <w:rsid w:val="004E673D"/>
    <w:rsid w:val="004E67EE"/>
    <w:rsid w:val="004E7009"/>
    <w:rsid w:val="004E7B29"/>
    <w:rsid w:val="004E7CBE"/>
    <w:rsid w:val="004F015E"/>
    <w:rsid w:val="004F0C48"/>
    <w:rsid w:val="004F0F6A"/>
    <w:rsid w:val="004F12C6"/>
    <w:rsid w:val="004F1ED8"/>
    <w:rsid w:val="004F23FE"/>
    <w:rsid w:val="004F2A9A"/>
    <w:rsid w:val="004F38FC"/>
    <w:rsid w:val="004F488D"/>
    <w:rsid w:val="004F587D"/>
    <w:rsid w:val="004F5987"/>
    <w:rsid w:val="004F5AC9"/>
    <w:rsid w:val="004F5E25"/>
    <w:rsid w:val="004F625C"/>
    <w:rsid w:val="004F69EE"/>
    <w:rsid w:val="004F6FBF"/>
    <w:rsid w:val="004F716E"/>
    <w:rsid w:val="004F740D"/>
    <w:rsid w:val="004F75A2"/>
    <w:rsid w:val="004F791A"/>
    <w:rsid w:val="004F7B2A"/>
    <w:rsid w:val="004F7D24"/>
    <w:rsid w:val="00500099"/>
    <w:rsid w:val="005005F0"/>
    <w:rsid w:val="00500601"/>
    <w:rsid w:val="00500650"/>
    <w:rsid w:val="0050081B"/>
    <w:rsid w:val="00500B32"/>
    <w:rsid w:val="005010A3"/>
    <w:rsid w:val="005012DB"/>
    <w:rsid w:val="00501D21"/>
    <w:rsid w:val="005021AA"/>
    <w:rsid w:val="00502F97"/>
    <w:rsid w:val="00503234"/>
    <w:rsid w:val="00503AFD"/>
    <w:rsid w:val="00503B6A"/>
    <w:rsid w:val="0050411C"/>
    <w:rsid w:val="0050465F"/>
    <w:rsid w:val="005049D3"/>
    <w:rsid w:val="00504BA8"/>
    <w:rsid w:val="00505114"/>
    <w:rsid w:val="0050520C"/>
    <w:rsid w:val="0050561D"/>
    <w:rsid w:val="0050595F"/>
    <w:rsid w:val="00506061"/>
    <w:rsid w:val="0050649F"/>
    <w:rsid w:val="00506798"/>
    <w:rsid w:val="0050738A"/>
    <w:rsid w:val="005073F3"/>
    <w:rsid w:val="005079B0"/>
    <w:rsid w:val="00507A80"/>
    <w:rsid w:val="00507DD8"/>
    <w:rsid w:val="0051172B"/>
    <w:rsid w:val="00511B88"/>
    <w:rsid w:val="00511D25"/>
    <w:rsid w:val="00511E1C"/>
    <w:rsid w:val="0051201E"/>
    <w:rsid w:val="00513615"/>
    <w:rsid w:val="0051447B"/>
    <w:rsid w:val="00514676"/>
    <w:rsid w:val="00514817"/>
    <w:rsid w:val="005148F2"/>
    <w:rsid w:val="005155CB"/>
    <w:rsid w:val="00515D56"/>
    <w:rsid w:val="00516012"/>
    <w:rsid w:val="005162BC"/>
    <w:rsid w:val="00516623"/>
    <w:rsid w:val="005167A2"/>
    <w:rsid w:val="00516B9F"/>
    <w:rsid w:val="00517074"/>
    <w:rsid w:val="005174EF"/>
    <w:rsid w:val="00517FB4"/>
    <w:rsid w:val="00520064"/>
    <w:rsid w:val="0052109E"/>
    <w:rsid w:val="005211A4"/>
    <w:rsid w:val="0052143D"/>
    <w:rsid w:val="00521967"/>
    <w:rsid w:val="00522218"/>
    <w:rsid w:val="00522C25"/>
    <w:rsid w:val="00522D08"/>
    <w:rsid w:val="0052360B"/>
    <w:rsid w:val="00523B47"/>
    <w:rsid w:val="0052415E"/>
    <w:rsid w:val="00524DB1"/>
    <w:rsid w:val="00525942"/>
    <w:rsid w:val="00525A00"/>
    <w:rsid w:val="00525ED5"/>
    <w:rsid w:val="005263C8"/>
    <w:rsid w:val="00526985"/>
    <w:rsid w:val="00526BAE"/>
    <w:rsid w:val="005279C6"/>
    <w:rsid w:val="00527BE4"/>
    <w:rsid w:val="00527C44"/>
    <w:rsid w:val="005300F7"/>
    <w:rsid w:val="00530373"/>
    <w:rsid w:val="0053066F"/>
    <w:rsid w:val="00530A70"/>
    <w:rsid w:val="005310BB"/>
    <w:rsid w:val="00532DDD"/>
    <w:rsid w:val="005335A3"/>
    <w:rsid w:val="00533F6C"/>
    <w:rsid w:val="005342A7"/>
    <w:rsid w:val="005346A0"/>
    <w:rsid w:val="00534B1C"/>
    <w:rsid w:val="00535F7E"/>
    <w:rsid w:val="005365C0"/>
    <w:rsid w:val="005365F5"/>
    <w:rsid w:val="00536A58"/>
    <w:rsid w:val="00536D44"/>
    <w:rsid w:val="00537594"/>
    <w:rsid w:val="0054070D"/>
    <w:rsid w:val="00540D38"/>
    <w:rsid w:val="00540DA1"/>
    <w:rsid w:val="00540FD6"/>
    <w:rsid w:val="005412CB"/>
    <w:rsid w:val="005414D3"/>
    <w:rsid w:val="005416F8"/>
    <w:rsid w:val="0054233B"/>
    <w:rsid w:val="00542E1D"/>
    <w:rsid w:val="00542E22"/>
    <w:rsid w:val="005430BA"/>
    <w:rsid w:val="0054317E"/>
    <w:rsid w:val="005431F7"/>
    <w:rsid w:val="005432A1"/>
    <w:rsid w:val="0054338D"/>
    <w:rsid w:val="005434AE"/>
    <w:rsid w:val="00543664"/>
    <w:rsid w:val="005437F3"/>
    <w:rsid w:val="00544480"/>
    <w:rsid w:val="00544718"/>
    <w:rsid w:val="00544978"/>
    <w:rsid w:val="005449C3"/>
    <w:rsid w:val="005450F7"/>
    <w:rsid w:val="00545A79"/>
    <w:rsid w:val="00546A93"/>
    <w:rsid w:val="00546B4E"/>
    <w:rsid w:val="00546BE8"/>
    <w:rsid w:val="00546E1B"/>
    <w:rsid w:val="00546EA3"/>
    <w:rsid w:val="00547432"/>
    <w:rsid w:val="00547B1F"/>
    <w:rsid w:val="00547D38"/>
    <w:rsid w:val="00547F59"/>
    <w:rsid w:val="005506A4"/>
    <w:rsid w:val="00550706"/>
    <w:rsid w:val="0055076E"/>
    <w:rsid w:val="005508E4"/>
    <w:rsid w:val="00550960"/>
    <w:rsid w:val="00550F5E"/>
    <w:rsid w:val="005510A4"/>
    <w:rsid w:val="00551997"/>
    <w:rsid w:val="00551C42"/>
    <w:rsid w:val="00551C66"/>
    <w:rsid w:val="00552688"/>
    <w:rsid w:val="00553162"/>
    <w:rsid w:val="00553202"/>
    <w:rsid w:val="0055374A"/>
    <w:rsid w:val="00554194"/>
    <w:rsid w:val="005542BD"/>
    <w:rsid w:val="00554C9D"/>
    <w:rsid w:val="005556E1"/>
    <w:rsid w:val="00555C99"/>
    <w:rsid w:val="00555EA7"/>
    <w:rsid w:val="00557079"/>
    <w:rsid w:val="00557992"/>
    <w:rsid w:val="00557E3E"/>
    <w:rsid w:val="0056038A"/>
    <w:rsid w:val="00560995"/>
    <w:rsid w:val="00560998"/>
    <w:rsid w:val="00561918"/>
    <w:rsid w:val="00561B9C"/>
    <w:rsid w:val="00561BA4"/>
    <w:rsid w:val="0056232F"/>
    <w:rsid w:val="00562870"/>
    <w:rsid w:val="00562BA2"/>
    <w:rsid w:val="0056413A"/>
    <w:rsid w:val="00564605"/>
    <w:rsid w:val="00564635"/>
    <w:rsid w:val="005649C7"/>
    <w:rsid w:val="005649FD"/>
    <w:rsid w:val="00564A27"/>
    <w:rsid w:val="00564C66"/>
    <w:rsid w:val="005654FD"/>
    <w:rsid w:val="0056596F"/>
    <w:rsid w:val="00565D14"/>
    <w:rsid w:val="005665DA"/>
    <w:rsid w:val="005666CC"/>
    <w:rsid w:val="00566F40"/>
    <w:rsid w:val="00567840"/>
    <w:rsid w:val="00570004"/>
    <w:rsid w:val="00570468"/>
    <w:rsid w:val="00570AFB"/>
    <w:rsid w:val="00570C54"/>
    <w:rsid w:val="00571384"/>
    <w:rsid w:val="00571E73"/>
    <w:rsid w:val="00571EE2"/>
    <w:rsid w:val="0057295F"/>
    <w:rsid w:val="00572A70"/>
    <w:rsid w:val="00572ACA"/>
    <w:rsid w:val="005733C9"/>
    <w:rsid w:val="0057359C"/>
    <w:rsid w:val="0057365D"/>
    <w:rsid w:val="00573E67"/>
    <w:rsid w:val="00575092"/>
    <w:rsid w:val="00576076"/>
    <w:rsid w:val="005760E2"/>
    <w:rsid w:val="00576205"/>
    <w:rsid w:val="005767CE"/>
    <w:rsid w:val="0057683F"/>
    <w:rsid w:val="005775FF"/>
    <w:rsid w:val="00577A16"/>
    <w:rsid w:val="00577D3B"/>
    <w:rsid w:val="00580152"/>
    <w:rsid w:val="00580B07"/>
    <w:rsid w:val="00581314"/>
    <w:rsid w:val="005815D9"/>
    <w:rsid w:val="005821AA"/>
    <w:rsid w:val="005821ED"/>
    <w:rsid w:val="005824F0"/>
    <w:rsid w:val="005826FF"/>
    <w:rsid w:val="00582AAD"/>
    <w:rsid w:val="00582FB6"/>
    <w:rsid w:val="005837ED"/>
    <w:rsid w:val="00583A61"/>
    <w:rsid w:val="00583C11"/>
    <w:rsid w:val="00584ACD"/>
    <w:rsid w:val="00584C2A"/>
    <w:rsid w:val="00584CC1"/>
    <w:rsid w:val="00584F2B"/>
    <w:rsid w:val="00585C57"/>
    <w:rsid w:val="005861C0"/>
    <w:rsid w:val="005866B7"/>
    <w:rsid w:val="00586D80"/>
    <w:rsid w:val="0058740B"/>
    <w:rsid w:val="00587D06"/>
    <w:rsid w:val="005900C1"/>
    <w:rsid w:val="00590A1A"/>
    <w:rsid w:val="00590B10"/>
    <w:rsid w:val="00590E96"/>
    <w:rsid w:val="005913F2"/>
    <w:rsid w:val="00591BEF"/>
    <w:rsid w:val="0059221D"/>
    <w:rsid w:val="00592858"/>
    <w:rsid w:val="005939B0"/>
    <w:rsid w:val="00593C98"/>
    <w:rsid w:val="00593F4C"/>
    <w:rsid w:val="005943A2"/>
    <w:rsid w:val="0059473B"/>
    <w:rsid w:val="00595251"/>
    <w:rsid w:val="005955D4"/>
    <w:rsid w:val="005955FE"/>
    <w:rsid w:val="00595A2C"/>
    <w:rsid w:val="00595EC2"/>
    <w:rsid w:val="00595F99"/>
    <w:rsid w:val="0059651C"/>
    <w:rsid w:val="00596548"/>
    <w:rsid w:val="00596DA3"/>
    <w:rsid w:val="005972C4"/>
    <w:rsid w:val="0059733F"/>
    <w:rsid w:val="005979AD"/>
    <w:rsid w:val="00597A58"/>
    <w:rsid w:val="005A0869"/>
    <w:rsid w:val="005A0BA2"/>
    <w:rsid w:val="005A10AD"/>
    <w:rsid w:val="005A25E7"/>
    <w:rsid w:val="005A2975"/>
    <w:rsid w:val="005A38C8"/>
    <w:rsid w:val="005A3C91"/>
    <w:rsid w:val="005A4504"/>
    <w:rsid w:val="005A46C0"/>
    <w:rsid w:val="005A5513"/>
    <w:rsid w:val="005A579E"/>
    <w:rsid w:val="005A6336"/>
    <w:rsid w:val="005A69E6"/>
    <w:rsid w:val="005A6AA1"/>
    <w:rsid w:val="005A6BE6"/>
    <w:rsid w:val="005A7BDB"/>
    <w:rsid w:val="005A7D41"/>
    <w:rsid w:val="005B140E"/>
    <w:rsid w:val="005B1763"/>
    <w:rsid w:val="005B1922"/>
    <w:rsid w:val="005B1F30"/>
    <w:rsid w:val="005B1FC4"/>
    <w:rsid w:val="005B20D6"/>
    <w:rsid w:val="005B21D4"/>
    <w:rsid w:val="005B2230"/>
    <w:rsid w:val="005B24BF"/>
    <w:rsid w:val="005B26EC"/>
    <w:rsid w:val="005B2B0D"/>
    <w:rsid w:val="005B2BF1"/>
    <w:rsid w:val="005B32B4"/>
    <w:rsid w:val="005B365B"/>
    <w:rsid w:val="005B3BC9"/>
    <w:rsid w:val="005B4212"/>
    <w:rsid w:val="005B427E"/>
    <w:rsid w:val="005B4F6A"/>
    <w:rsid w:val="005B5914"/>
    <w:rsid w:val="005B5EEF"/>
    <w:rsid w:val="005B653B"/>
    <w:rsid w:val="005B6AD0"/>
    <w:rsid w:val="005B6E05"/>
    <w:rsid w:val="005B72D2"/>
    <w:rsid w:val="005B736A"/>
    <w:rsid w:val="005B7371"/>
    <w:rsid w:val="005B73E3"/>
    <w:rsid w:val="005B7406"/>
    <w:rsid w:val="005B78F9"/>
    <w:rsid w:val="005B7C35"/>
    <w:rsid w:val="005B7C4C"/>
    <w:rsid w:val="005B7CB5"/>
    <w:rsid w:val="005C0078"/>
    <w:rsid w:val="005C060D"/>
    <w:rsid w:val="005C07AE"/>
    <w:rsid w:val="005C0A1A"/>
    <w:rsid w:val="005C182D"/>
    <w:rsid w:val="005C28B7"/>
    <w:rsid w:val="005C2CA8"/>
    <w:rsid w:val="005C2DAE"/>
    <w:rsid w:val="005C2F70"/>
    <w:rsid w:val="005C37AE"/>
    <w:rsid w:val="005C3C7E"/>
    <w:rsid w:val="005C4307"/>
    <w:rsid w:val="005C4542"/>
    <w:rsid w:val="005C4556"/>
    <w:rsid w:val="005C4936"/>
    <w:rsid w:val="005C4A37"/>
    <w:rsid w:val="005C567C"/>
    <w:rsid w:val="005C5A16"/>
    <w:rsid w:val="005C5A2B"/>
    <w:rsid w:val="005C5C5F"/>
    <w:rsid w:val="005C6508"/>
    <w:rsid w:val="005C653A"/>
    <w:rsid w:val="005C6B58"/>
    <w:rsid w:val="005C6C41"/>
    <w:rsid w:val="005C6E1A"/>
    <w:rsid w:val="005C70D4"/>
    <w:rsid w:val="005D0156"/>
    <w:rsid w:val="005D0508"/>
    <w:rsid w:val="005D284A"/>
    <w:rsid w:val="005D2C49"/>
    <w:rsid w:val="005D3019"/>
    <w:rsid w:val="005D349B"/>
    <w:rsid w:val="005D38C4"/>
    <w:rsid w:val="005D5362"/>
    <w:rsid w:val="005D54A4"/>
    <w:rsid w:val="005D5771"/>
    <w:rsid w:val="005D5E82"/>
    <w:rsid w:val="005D61C4"/>
    <w:rsid w:val="005D7226"/>
    <w:rsid w:val="005D724D"/>
    <w:rsid w:val="005D7FB9"/>
    <w:rsid w:val="005E0125"/>
    <w:rsid w:val="005E021A"/>
    <w:rsid w:val="005E03CC"/>
    <w:rsid w:val="005E0953"/>
    <w:rsid w:val="005E0955"/>
    <w:rsid w:val="005E0B4A"/>
    <w:rsid w:val="005E0D0E"/>
    <w:rsid w:val="005E0DD6"/>
    <w:rsid w:val="005E126F"/>
    <w:rsid w:val="005E1E2A"/>
    <w:rsid w:val="005E1F24"/>
    <w:rsid w:val="005E2AF8"/>
    <w:rsid w:val="005E2C50"/>
    <w:rsid w:val="005E345D"/>
    <w:rsid w:val="005E3844"/>
    <w:rsid w:val="005E3A09"/>
    <w:rsid w:val="005E3B5A"/>
    <w:rsid w:val="005E3C2D"/>
    <w:rsid w:val="005E3C6C"/>
    <w:rsid w:val="005E409B"/>
    <w:rsid w:val="005E40D0"/>
    <w:rsid w:val="005E45A5"/>
    <w:rsid w:val="005E467B"/>
    <w:rsid w:val="005E5B2D"/>
    <w:rsid w:val="005E5D4E"/>
    <w:rsid w:val="005E6DA8"/>
    <w:rsid w:val="005E6DB4"/>
    <w:rsid w:val="005E6F22"/>
    <w:rsid w:val="005E745A"/>
    <w:rsid w:val="005E781B"/>
    <w:rsid w:val="005F154E"/>
    <w:rsid w:val="005F1C61"/>
    <w:rsid w:val="005F1D8F"/>
    <w:rsid w:val="005F25EE"/>
    <w:rsid w:val="005F2804"/>
    <w:rsid w:val="005F30A1"/>
    <w:rsid w:val="005F3618"/>
    <w:rsid w:val="005F4091"/>
    <w:rsid w:val="005F40A6"/>
    <w:rsid w:val="005F4B27"/>
    <w:rsid w:val="005F4DAF"/>
    <w:rsid w:val="005F5809"/>
    <w:rsid w:val="005F5920"/>
    <w:rsid w:val="005F60EF"/>
    <w:rsid w:val="005F63AA"/>
    <w:rsid w:val="005F6851"/>
    <w:rsid w:val="005F6FC2"/>
    <w:rsid w:val="005F7011"/>
    <w:rsid w:val="005F70E0"/>
    <w:rsid w:val="005F71AD"/>
    <w:rsid w:val="005F72CC"/>
    <w:rsid w:val="00600081"/>
    <w:rsid w:val="006004AB"/>
    <w:rsid w:val="00600661"/>
    <w:rsid w:val="0060138C"/>
    <w:rsid w:val="00601949"/>
    <w:rsid w:val="00601F31"/>
    <w:rsid w:val="00602212"/>
    <w:rsid w:val="00602716"/>
    <w:rsid w:val="00602AE6"/>
    <w:rsid w:val="00602C82"/>
    <w:rsid w:val="0060327E"/>
    <w:rsid w:val="006035F2"/>
    <w:rsid w:val="00603BEC"/>
    <w:rsid w:val="00603DF6"/>
    <w:rsid w:val="00604182"/>
    <w:rsid w:val="006043AD"/>
    <w:rsid w:val="00604D51"/>
    <w:rsid w:val="00604D88"/>
    <w:rsid w:val="0060565B"/>
    <w:rsid w:val="006057A1"/>
    <w:rsid w:val="00605C57"/>
    <w:rsid w:val="00606294"/>
    <w:rsid w:val="00606784"/>
    <w:rsid w:val="0060735D"/>
    <w:rsid w:val="00607661"/>
    <w:rsid w:val="00607F53"/>
    <w:rsid w:val="00607FEA"/>
    <w:rsid w:val="006100C0"/>
    <w:rsid w:val="00611601"/>
    <w:rsid w:val="00612AD5"/>
    <w:rsid w:val="006131E9"/>
    <w:rsid w:val="00613DE7"/>
    <w:rsid w:val="00615141"/>
    <w:rsid w:val="00615550"/>
    <w:rsid w:val="00615954"/>
    <w:rsid w:val="00616032"/>
    <w:rsid w:val="00616200"/>
    <w:rsid w:val="0061658B"/>
    <w:rsid w:val="00616817"/>
    <w:rsid w:val="006174B4"/>
    <w:rsid w:val="006175CC"/>
    <w:rsid w:val="00617880"/>
    <w:rsid w:val="00617FF9"/>
    <w:rsid w:val="0062045A"/>
    <w:rsid w:val="00620CFC"/>
    <w:rsid w:val="00621047"/>
    <w:rsid w:val="0062114A"/>
    <w:rsid w:val="006224AA"/>
    <w:rsid w:val="00622589"/>
    <w:rsid w:val="006226E3"/>
    <w:rsid w:val="006227BE"/>
    <w:rsid w:val="00622FE5"/>
    <w:rsid w:val="006230FB"/>
    <w:rsid w:val="006234C8"/>
    <w:rsid w:val="006238F5"/>
    <w:rsid w:val="00623A1B"/>
    <w:rsid w:val="006242C8"/>
    <w:rsid w:val="00624695"/>
    <w:rsid w:val="00624A62"/>
    <w:rsid w:val="006253AC"/>
    <w:rsid w:val="006255B3"/>
    <w:rsid w:val="00625778"/>
    <w:rsid w:val="00625EC4"/>
    <w:rsid w:val="00626189"/>
    <w:rsid w:val="006264CF"/>
    <w:rsid w:val="00627111"/>
    <w:rsid w:val="0062722A"/>
    <w:rsid w:val="0062727F"/>
    <w:rsid w:val="00627443"/>
    <w:rsid w:val="00627678"/>
    <w:rsid w:val="00630641"/>
    <w:rsid w:val="00630D24"/>
    <w:rsid w:val="00630F08"/>
    <w:rsid w:val="00630F6E"/>
    <w:rsid w:val="006310C7"/>
    <w:rsid w:val="00631521"/>
    <w:rsid w:val="0063175A"/>
    <w:rsid w:val="00632228"/>
    <w:rsid w:val="006325B6"/>
    <w:rsid w:val="006326F5"/>
    <w:rsid w:val="00633361"/>
    <w:rsid w:val="00633B4F"/>
    <w:rsid w:val="00633E2E"/>
    <w:rsid w:val="00633F75"/>
    <w:rsid w:val="00634AF2"/>
    <w:rsid w:val="006364D4"/>
    <w:rsid w:val="00636A57"/>
    <w:rsid w:val="00636F7F"/>
    <w:rsid w:val="00637012"/>
    <w:rsid w:val="006370AA"/>
    <w:rsid w:val="0063779A"/>
    <w:rsid w:val="00637B45"/>
    <w:rsid w:val="00637C7F"/>
    <w:rsid w:val="006400B9"/>
    <w:rsid w:val="006402E5"/>
    <w:rsid w:val="006404A2"/>
    <w:rsid w:val="00641AA3"/>
    <w:rsid w:val="0064211C"/>
    <w:rsid w:val="00642605"/>
    <w:rsid w:val="00642C71"/>
    <w:rsid w:val="00642EE6"/>
    <w:rsid w:val="00643BF9"/>
    <w:rsid w:val="0064409D"/>
    <w:rsid w:val="006443C2"/>
    <w:rsid w:val="00644536"/>
    <w:rsid w:val="0064478F"/>
    <w:rsid w:val="006449A9"/>
    <w:rsid w:val="00644A32"/>
    <w:rsid w:val="00645383"/>
    <w:rsid w:val="00646D34"/>
    <w:rsid w:val="00646FB7"/>
    <w:rsid w:val="00647069"/>
    <w:rsid w:val="00647308"/>
    <w:rsid w:val="00647429"/>
    <w:rsid w:val="00647742"/>
    <w:rsid w:val="00647D73"/>
    <w:rsid w:val="00650F63"/>
    <w:rsid w:val="0065102B"/>
    <w:rsid w:val="006518B7"/>
    <w:rsid w:val="006519CF"/>
    <w:rsid w:val="00652847"/>
    <w:rsid w:val="006558B6"/>
    <w:rsid w:val="006562D0"/>
    <w:rsid w:val="006563E5"/>
    <w:rsid w:val="00656C5B"/>
    <w:rsid w:val="0065706F"/>
    <w:rsid w:val="00657130"/>
    <w:rsid w:val="00657823"/>
    <w:rsid w:val="00657E4C"/>
    <w:rsid w:val="006602D4"/>
    <w:rsid w:val="006603F3"/>
    <w:rsid w:val="00660413"/>
    <w:rsid w:val="006607D0"/>
    <w:rsid w:val="006612C8"/>
    <w:rsid w:val="00661850"/>
    <w:rsid w:val="006619C0"/>
    <w:rsid w:val="006622A1"/>
    <w:rsid w:val="0066233E"/>
    <w:rsid w:val="0066246D"/>
    <w:rsid w:val="00662F65"/>
    <w:rsid w:val="006636ED"/>
    <w:rsid w:val="00663723"/>
    <w:rsid w:val="00663734"/>
    <w:rsid w:val="006638E2"/>
    <w:rsid w:val="006647EE"/>
    <w:rsid w:val="0066535C"/>
    <w:rsid w:val="006653FB"/>
    <w:rsid w:val="006656F1"/>
    <w:rsid w:val="00665ACE"/>
    <w:rsid w:val="00665D68"/>
    <w:rsid w:val="00665EFE"/>
    <w:rsid w:val="006663EA"/>
    <w:rsid w:val="006664AF"/>
    <w:rsid w:val="006668CC"/>
    <w:rsid w:val="00666E1C"/>
    <w:rsid w:val="00667222"/>
    <w:rsid w:val="006679AB"/>
    <w:rsid w:val="0067027C"/>
    <w:rsid w:val="00670EF3"/>
    <w:rsid w:val="006713B4"/>
    <w:rsid w:val="006720D1"/>
    <w:rsid w:val="0067279B"/>
    <w:rsid w:val="00672D33"/>
    <w:rsid w:val="006738AF"/>
    <w:rsid w:val="00674155"/>
    <w:rsid w:val="00675C96"/>
    <w:rsid w:val="0067614B"/>
    <w:rsid w:val="0067672E"/>
    <w:rsid w:val="00676736"/>
    <w:rsid w:val="00676B09"/>
    <w:rsid w:val="0067784A"/>
    <w:rsid w:val="00677C8D"/>
    <w:rsid w:val="00677FE4"/>
    <w:rsid w:val="0068053F"/>
    <w:rsid w:val="00680595"/>
    <w:rsid w:val="00680700"/>
    <w:rsid w:val="006812F9"/>
    <w:rsid w:val="00681CE4"/>
    <w:rsid w:val="00682517"/>
    <w:rsid w:val="00682E9C"/>
    <w:rsid w:val="006831E1"/>
    <w:rsid w:val="006834B9"/>
    <w:rsid w:val="00683A65"/>
    <w:rsid w:val="00684336"/>
    <w:rsid w:val="00684944"/>
    <w:rsid w:val="00684993"/>
    <w:rsid w:val="00684CB5"/>
    <w:rsid w:val="00684E03"/>
    <w:rsid w:val="00685078"/>
    <w:rsid w:val="006852A3"/>
    <w:rsid w:val="00685306"/>
    <w:rsid w:val="00685538"/>
    <w:rsid w:val="00685D72"/>
    <w:rsid w:val="00685EAD"/>
    <w:rsid w:val="00685F1D"/>
    <w:rsid w:val="00686102"/>
    <w:rsid w:val="006865F9"/>
    <w:rsid w:val="00686624"/>
    <w:rsid w:val="00686B6D"/>
    <w:rsid w:val="00690567"/>
    <w:rsid w:val="00690D0C"/>
    <w:rsid w:val="00691057"/>
    <w:rsid w:val="00692C14"/>
    <w:rsid w:val="00692C77"/>
    <w:rsid w:val="00693F0E"/>
    <w:rsid w:val="006941CD"/>
    <w:rsid w:val="0069452B"/>
    <w:rsid w:val="00694805"/>
    <w:rsid w:val="006949FC"/>
    <w:rsid w:val="00694D50"/>
    <w:rsid w:val="00695123"/>
    <w:rsid w:val="00695490"/>
    <w:rsid w:val="006954E2"/>
    <w:rsid w:val="00695C3B"/>
    <w:rsid w:val="00695CD4"/>
    <w:rsid w:val="00696144"/>
    <w:rsid w:val="006961DE"/>
    <w:rsid w:val="00697179"/>
    <w:rsid w:val="006972EC"/>
    <w:rsid w:val="006A02B6"/>
    <w:rsid w:val="006A0E55"/>
    <w:rsid w:val="006A18C0"/>
    <w:rsid w:val="006A1AAA"/>
    <w:rsid w:val="006A21C1"/>
    <w:rsid w:val="006A2C0E"/>
    <w:rsid w:val="006A316A"/>
    <w:rsid w:val="006A31C8"/>
    <w:rsid w:val="006A512F"/>
    <w:rsid w:val="006A5254"/>
    <w:rsid w:val="006A5360"/>
    <w:rsid w:val="006A5F83"/>
    <w:rsid w:val="006A613A"/>
    <w:rsid w:val="006A68AA"/>
    <w:rsid w:val="006A70CB"/>
    <w:rsid w:val="006A71F3"/>
    <w:rsid w:val="006A7E21"/>
    <w:rsid w:val="006B01FA"/>
    <w:rsid w:val="006B0991"/>
    <w:rsid w:val="006B0F16"/>
    <w:rsid w:val="006B115A"/>
    <w:rsid w:val="006B1304"/>
    <w:rsid w:val="006B16D2"/>
    <w:rsid w:val="006B1800"/>
    <w:rsid w:val="006B1AFC"/>
    <w:rsid w:val="006B1E9F"/>
    <w:rsid w:val="006B299B"/>
    <w:rsid w:val="006B2B9F"/>
    <w:rsid w:val="006B2EFA"/>
    <w:rsid w:val="006B338A"/>
    <w:rsid w:val="006B339E"/>
    <w:rsid w:val="006B350D"/>
    <w:rsid w:val="006B39F7"/>
    <w:rsid w:val="006B414C"/>
    <w:rsid w:val="006B419D"/>
    <w:rsid w:val="006B43F9"/>
    <w:rsid w:val="006B4F45"/>
    <w:rsid w:val="006B5968"/>
    <w:rsid w:val="006B5A66"/>
    <w:rsid w:val="006B67C9"/>
    <w:rsid w:val="006B6E24"/>
    <w:rsid w:val="006B731B"/>
    <w:rsid w:val="006B7AED"/>
    <w:rsid w:val="006C086E"/>
    <w:rsid w:val="006C08D9"/>
    <w:rsid w:val="006C08FB"/>
    <w:rsid w:val="006C0E44"/>
    <w:rsid w:val="006C1C07"/>
    <w:rsid w:val="006C1C6A"/>
    <w:rsid w:val="006C1DBD"/>
    <w:rsid w:val="006C2AF9"/>
    <w:rsid w:val="006C2F20"/>
    <w:rsid w:val="006C2FDE"/>
    <w:rsid w:val="006C30DA"/>
    <w:rsid w:val="006C3320"/>
    <w:rsid w:val="006C3454"/>
    <w:rsid w:val="006C3FBB"/>
    <w:rsid w:val="006C42F5"/>
    <w:rsid w:val="006C4EE8"/>
    <w:rsid w:val="006C5114"/>
    <w:rsid w:val="006C55A8"/>
    <w:rsid w:val="006C5E34"/>
    <w:rsid w:val="006C60D1"/>
    <w:rsid w:val="006C6C9C"/>
    <w:rsid w:val="006C730F"/>
    <w:rsid w:val="006C7DF4"/>
    <w:rsid w:val="006C7F79"/>
    <w:rsid w:val="006D0146"/>
    <w:rsid w:val="006D03A8"/>
    <w:rsid w:val="006D1519"/>
    <w:rsid w:val="006D1B92"/>
    <w:rsid w:val="006D1F14"/>
    <w:rsid w:val="006D3DB5"/>
    <w:rsid w:val="006D423C"/>
    <w:rsid w:val="006D51AB"/>
    <w:rsid w:val="006D52D2"/>
    <w:rsid w:val="006D558A"/>
    <w:rsid w:val="006D558D"/>
    <w:rsid w:val="006D57B8"/>
    <w:rsid w:val="006D73D2"/>
    <w:rsid w:val="006D76B1"/>
    <w:rsid w:val="006D7AAF"/>
    <w:rsid w:val="006D7E45"/>
    <w:rsid w:val="006E0889"/>
    <w:rsid w:val="006E147F"/>
    <w:rsid w:val="006E1EC3"/>
    <w:rsid w:val="006E20D8"/>
    <w:rsid w:val="006E2228"/>
    <w:rsid w:val="006E2459"/>
    <w:rsid w:val="006E27C8"/>
    <w:rsid w:val="006E2D30"/>
    <w:rsid w:val="006E2EAD"/>
    <w:rsid w:val="006E3906"/>
    <w:rsid w:val="006E3BA3"/>
    <w:rsid w:val="006E41E6"/>
    <w:rsid w:val="006E42E2"/>
    <w:rsid w:val="006E44B5"/>
    <w:rsid w:val="006E451C"/>
    <w:rsid w:val="006E4CD5"/>
    <w:rsid w:val="006E4E52"/>
    <w:rsid w:val="006E5368"/>
    <w:rsid w:val="006E5A7E"/>
    <w:rsid w:val="006E5F63"/>
    <w:rsid w:val="006E6615"/>
    <w:rsid w:val="006E7BFB"/>
    <w:rsid w:val="006F1407"/>
    <w:rsid w:val="006F1FAD"/>
    <w:rsid w:val="006F1FFE"/>
    <w:rsid w:val="006F205C"/>
    <w:rsid w:val="006F22FE"/>
    <w:rsid w:val="006F3312"/>
    <w:rsid w:val="006F4096"/>
    <w:rsid w:val="006F5068"/>
    <w:rsid w:val="006F550F"/>
    <w:rsid w:val="006F5978"/>
    <w:rsid w:val="006F619E"/>
    <w:rsid w:val="006F67B8"/>
    <w:rsid w:val="006F6967"/>
    <w:rsid w:val="006F6E52"/>
    <w:rsid w:val="006F72F0"/>
    <w:rsid w:val="006F7971"/>
    <w:rsid w:val="006F7D4C"/>
    <w:rsid w:val="007003F9"/>
    <w:rsid w:val="007005D9"/>
    <w:rsid w:val="00700792"/>
    <w:rsid w:val="00700EFB"/>
    <w:rsid w:val="00701940"/>
    <w:rsid w:val="007025C0"/>
    <w:rsid w:val="0070271E"/>
    <w:rsid w:val="00702C97"/>
    <w:rsid w:val="00702DDE"/>
    <w:rsid w:val="00703AC0"/>
    <w:rsid w:val="007046A0"/>
    <w:rsid w:val="00704994"/>
    <w:rsid w:val="0070648C"/>
    <w:rsid w:val="007068E3"/>
    <w:rsid w:val="00706A65"/>
    <w:rsid w:val="007078C6"/>
    <w:rsid w:val="007100B2"/>
    <w:rsid w:val="00710262"/>
    <w:rsid w:val="007113E2"/>
    <w:rsid w:val="007116F0"/>
    <w:rsid w:val="00711846"/>
    <w:rsid w:val="007118F8"/>
    <w:rsid w:val="007127B9"/>
    <w:rsid w:val="00712960"/>
    <w:rsid w:val="0071392B"/>
    <w:rsid w:val="00713D24"/>
    <w:rsid w:val="0071435C"/>
    <w:rsid w:val="00714764"/>
    <w:rsid w:val="00714B29"/>
    <w:rsid w:val="00715148"/>
    <w:rsid w:val="0071525E"/>
    <w:rsid w:val="0071568C"/>
    <w:rsid w:val="0071588B"/>
    <w:rsid w:val="007159A8"/>
    <w:rsid w:val="00715A85"/>
    <w:rsid w:val="00716355"/>
    <w:rsid w:val="0071635C"/>
    <w:rsid w:val="00716D75"/>
    <w:rsid w:val="00717033"/>
    <w:rsid w:val="0071707F"/>
    <w:rsid w:val="00717F0C"/>
    <w:rsid w:val="00720272"/>
    <w:rsid w:val="00720720"/>
    <w:rsid w:val="00720D78"/>
    <w:rsid w:val="00720F03"/>
    <w:rsid w:val="0072134B"/>
    <w:rsid w:val="00721540"/>
    <w:rsid w:val="00721D3B"/>
    <w:rsid w:val="0072247F"/>
    <w:rsid w:val="007238C0"/>
    <w:rsid w:val="00723F63"/>
    <w:rsid w:val="00724044"/>
    <w:rsid w:val="00724449"/>
    <w:rsid w:val="007246E8"/>
    <w:rsid w:val="00724DF6"/>
    <w:rsid w:val="00725745"/>
    <w:rsid w:val="007258D5"/>
    <w:rsid w:val="00725B62"/>
    <w:rsid w:val="00730144"/>
    <w:rsid w:val="00730164"/>
    <w:rsid w:val="007315C0"/>
    <w:rsid w:val="007316D4"/>
    <w:rsid w:val="00731E3D"/>
    <w:rsid w:val="007320B3"/>
    <w:rsid w:val="00732310"/>
    <w:rsid w:val="0073298B"/>
    <w:rsid w:val="00732DE6"/>
    <w:rsid w:val="00733111"/>
    <w:rsid w:val="0073329B"/>
    <w:rsid w:val="007332C4"/>
    <w:rsid w:val="00733354"/>
    <w:rsid w:val="007336A2"/>
    <w:rsid w:val="00734584"/>
    <w:rsid w:val="007346D0"/>
    <w:rsid w:val="00734E7A"/>
    <w:rsid w:val="00734F7C"/>
    <w:rsid w:val="00735573"/>
    <w:rsid w:val="00735E3A"/>
    <w:rsid w:val="0073638F"/>
    <w:rsid w:val="00736665"/>
    <w:rsid w:val="00736851"/>
    <w:rsid w:val="00737264"/>
    <w:rsid w:val="00737678"/>
    <w:rsid w:val="00737C61"/>
    <w:rsid w:val="00740272"/>
    <w:rsid w:val="00740BBF"/>
    <w:rsid w:val="00740BC9"/>
    <w:rsid w:val="00741FE0"/>
    <w:rsid w:val="007425EB"/>
    <w:rsid w:val="00742C3D"/>
    <w:rsid w:val="00742CD8"/>
    <w:rsid w:val="00742F22"/>
    <w:rsid w:val="007430A5"/>
    <w:rsid w:val="007431CD"/>
    <w:rsid w:val="007453F0"/>
    <w:rsid w:val="0074546E"/>
    <w:rsid w:val="00745C4F"/>
    <w:rsid w:val="00746DC1"/>
    <w:rsid w:val="00747516"/>
    <w:rsid w:val="00750742"/>
    <w:rsid w:val="00750F6E"/>
    <w:rsid w:val="00751842"/>
    <w:rsid w:val="00752BE2"/>
    <w:rsid w:val="007530A2"/>
    <w:rsid w:val="00753389"/>
    <w:rsid w:val="00753510"/>
    <w:rsid w:val="007536FF"/>
    <w:rsid w:val="00753818"/>
    <w:rsid w:val="007543F9"/>
    <w:rsid w:val="00754DD8"/>
    <w:rsid w:val="00754ED9"/>
    <w:rsid w:val="007552F5"/>
    <w:rsid w:val="0075562F"/>
    <w:rsid w:val="00755944"/>
    <w:rsid w:val="00755CB3"/>
    <w:rsid w:val="00755D0B"/>
    <w:rsid w:val="00755FE4"/>
    <w:rsid w:val="0075751C"/>
    <w:rsid w:val="007576C1"/>
    <w:rsid w:val="00757FBC"/>
    <w:rsid w:val="00760237"/>
    <w:rsid w:val="0076029A"/>
    <w:rsid w:val="00760C3A"/>
    <w:rsid w:val="00760EF2"/>
    <w:rsid w:val="0076116D"/>
    <w:rsid w:val="00761700"/>
    <w:rsid w:val="00761964"/>
    <w:rsid w:val="00761C1F"/>
    <w:rsid w:val="0076203C"/>
    <w:rsid w:val="00762770"/>
    <w:rsid w:val="00762DE1"/>
    <w:rsid w:val="00763127"/>
    <w:rsid w:val="00763708"/>
    <w:rsid w:val="00763E5F"/>
    <w:rsid w:val="00763F6C"/>
    <w:rsid w:val="00764287"/>
    <w:rsid w:val="007645E9"/>
    <w:rsid w:val="00765903"/>
    <w:rsid w:val="00766411"/>
    <w:rsid w:val="007664AF"/>
    <w:rsid w:val="00766659"/>
    <w:rsid w:val="007666AE"/>
    <w:rsid w:val="00766F41"/>
    <w:rsid w:val="00767A8D"/>
    <w:rsid w:val="00767F47"/>
    <w:rsid w:val="007703D7"/>
    <w:rsid w:val="0077055C"/>
    <w:rsid w:val="00770E83"/>
    <w:rsid w:val="00771281"/>
    <w:rsid w:val="007717CF"/>
    <w:rsid w:val="00771AD5"/>
    <w:rsid w:val="00771D50"/>
    <w:rsid w:val="00771DB6"/>
    <w:rsid w:val="00772C2D"/>
    <w:rsid w:val="00774119"/>
    <w:rsid w:val="0077422B"/>
    <w:rsid w:val="0077434C"/>
    <w:rsid w:val="007743B9"/>
    <w:rsid w:val="00774DD1"/>
    <w:rsid w:val="00775262"/>
    <w:rsid w:val="00775858"/>
    <w:rsid w:val="00776485"/>
    <w:rsid w:val="00776797"/>
    <w:rsid w:val="007771FB"/>
    <w:rsid w:val="007775AF"/>
    <w:rsid w:val="007775B3"/>
    <w:rsid w:val="00777741"/>
    <w:rsid w:val="00777A99"/>
    <w:rsid w:val="007807A7"/>
    <w:rsid w:val="007808AF"/>
    <w:rsid w:val="00780EBB"/>
    <w:rsid w:val="007825AD"/>
    <w:rsid w:val="00782771"/>
    <w:rsid w:val="00782774"/>
    <w:rsid w:val="0078367E"/>
    <w:rsid w:val="00784430"/>
    <w:rsid w:val="00784CD9"/>
    <w:rsid w:val="0078517F"/>
    <w:rsid w:val="00785729"/>
    <w:rsid w:val="00786AA5"/>
    <w:rsid w:val="0078710B"/>
    <w:rsid w:val="00787508"/>
    <w:rsid w:val="007903AD"/>
    <w:rsid w:val="0079062F"/>
    <w:rsid w:val="00790B35"/>
    <w:rsid w:val="007912E8"/>
    <w:rsid w:val="0079131E"/>
    <w:rsid w:val="007914E7"/>
    <w:rsid w:val="0079242E"/>
    <w:rsid w:val="007925DD"/>
    <w:rsid w:val="007928C9"/>
    <w:rsid w:val="00792A38"/>
    <w:rsid w:val="00792C99"/>
    <w:rsid w:val="007931FB"/>
    <w:rsid w:val="007939F9"/>
    <w:rsid w:val="00793D74"/>
    <w:rsid w:val="00793FEB"/>
    <w:rsid w:val="007940F9"/>
    <w:rsid w:val="0079432C"/>
    <w:rsid w:val="00794335"/>
    <w:rsid w:val="00794456"/>
    <w:rsid w:val="00794481"/>
    <w:rsid w:val="00794A07"/>
    <w:rsid w:val="00795FAE"/>
    <w:rsid w:val="00796D1B"/>
    <w:rsid w:val="00797464"/>
    <w:rsid w:val="007A010C"/>
    <w:rsid w:val="007A03FC"/>
    <w:rsid w:val="007A0439"/>
    <w:rsid w:val="007A0519"/>
    <w:rsid w:val="007A08CE"/>
    <w:rsid w:val="007A142A"/>
    <w:rsid w:val="007A1643"/>
    <w:rsid w:val="007A1792"/>
    <w:rsid w:val="007A1C68"/>
    <w:rsid w:val="007A1DDD"/>
    <w:rsid w:val="007A2BCF"/>
    <w:rsid w:val="007A3462"/>
    <w:rsid w:val="007A3AE7"/>
    <w:rsid w:val="007A3BBC"/>
    <w:rsid w:val="007A3E83"/>
    <w:rsid w:val="007A436A"/>
    <w:rsid w:val="007A5C8C"/>
    <w:rsid w:val="007A5D3F"/>
    <w:rsid w:val="007A7F6B"/>
    <w:rsid w:val="007B01C3"/>
    <w:rsid w:val="007B042A"/>
    <w:rsid w:val="007B0CF2"/>
    <w:rsid w:val="007B2253"/>
    <w:rsid w:val="007B2620"/>
    <w:rsid w:val="007B3E24"/>
    <w:rsid w:val="007B3E41"/>
    <w:rsid w:val="007B3F0C"/>
    <w:rsid w:val="007B4711"/>
    <w:rsid w:val="007B4872"/>
    <w:rsid w:val="007B60BE"/>
    <w:rsid w:val="007B62B3"/>
    <w:rsid w:val="007B68F3"/>
    <w:rsid w:val="007B6C2B"/>
    <w:rsid w:val="007B6F1E"/>
    <w:rsid w:val="007B7A52"/>
    <w:rsid w:val="007C03B1"/>
    <w:rsid w:val="007C0676"/>
    <w:rsid w:val="007C0C1E"/>
    <w:rsid w:val="007C145E"/>
    <w:rsid w:val="007C179D"/>
    <w:rsid w:val="007C215D"/>
    <w:rsid w:val="007C2CAF"/>
    <w:rsid w:val="007C2FA0"/>
    <w:rsid w:val="007C356D"/>
    <w:rsid w:val="007C48CF"/>
    <w:rsid w:val="007C4A88"/>
    <w:rsid w:val="007C4B44"/>
    <w:rsid w:val="007C4C70"/>
    <w:rsid w:val="007C4EB9"/>
    <w:rsid w:val="007C4F13"/>
    <w:rsid w:val="007C55DC"/>
    <w:rsid w:val="007C5A3A"/>
    <w:rsid w:val="007C5BF1"/>
    <w:rsid w:val="007C5F40"/>
    <w:rsid w:val="007C60FE"/>
    <w:rsid w:val="007C6758"/>
    <w:rsid w:val="007C6854"/>
    <w:rsid w:val="007C6870"/>
    <w:rsid w:val="007C6C10"/>
    <w:rsid w:val="007C700C"/>
    <w:rsid w:val="007C71C2"/>
    <w:rsid w:val="007C728D"/>
    <w:rsid w:val="007C7708"/>
    <w:rsid w:val="007C7730"/>
    <w:rsid w:val="007C7FD1"/>
    <w:rsid w:val="007D069F"/>
    <w:rsid w:val="007D09A9"/>
    <w:rsid w:val="007D0AAF"/>
    <w:rsid w:val="007D100A"/>
    <w:rsid w:val="007D3146"/>
    <w:rsid w:val="007D320E"/>
    <w:rsid w:val="007D38E6"/>
    <w:rsid w:val="007D3A44"/>
    <w:rsid w:val="007D4CF0"/>
    <w:rsid w:val="007D53AD"/>
    <w:rsid w:val="007D54F3"/>
    <w:rsid w:val="007D7892"/>
    <w:rsid w:val="007D7935"/>
    <w:rsid w:val="007E00EE"/>
    <w:rsid w:val="007E06F7"/>
    <w:rsid w:val="007E0A33"/>
    <w:rsid w:val="007E0C1D"/>
    <w:rsid w:val="007E2679"/>
    <w:rsid w:val="007E2D0C"/>
    <w:rsid w:val="007E2EBE"/>
    <w:rsid w:val="007E32A8"/>
    <w:rsid w:val="007E33F2"/>
    <w:rsid w:val="007E386B"/>
    <w:rsid w:val="007E5785"/>
    <w:rsid w:val="007E57C4"/>
    <w:rsid w:val="007E7AAF"/>
    <w:rsid w:val="007E7CCB"/>
    <w:rsid w:val="007E7D4E"/>
    <w:rsid w:val="007F0402"/>
    <w:rsid w:val="007F0A08"/>
    <w:rsid w:val="007F0AE7"/>
    <w:rsid w:val="007F0C87"/>
    <w:rsid w:val="007F1433"/>
    <w:rsid w:val="007F150D"/>
    <w:rsid w:val="007F1768"/>
    <w:rsid w:val="007F177A"/>
    <w:rsid w:val="007F1939"/>
    <w:rsid w:val="007F22A1"/>
    <w:rsid w:val="007F361E"/>
    <w:rsid w:val="007F3905"/>
    <w:rsid w:val="007F536F"/>
    <w:rsid w:val="007F6C72"/>
    <w:rsid w:val="007F6D92"/>
    <w:rsid w:val="007F6F6B"/>
    <w:rsid w:val="007F75B8"/>
    <w:rsid w:val="007F7627"/>
    <w:rsid w:val="007F7B97"/>
    <w:rsid w:val="00800754"/>
    <w:rsid w:val="00800FB9"/>
    <w:rsid w:val="008014FE"/>
    <w:rsid w:val="00802151"/>
    <w:rsid w:val="008027B1"/>
    <w:rsid w:val="00802CB7"/>
    <w:rsid w:val="00802F02"/>
    <w:rsid w:val="00804C0D"/>
    <w:rsid w:val="00804C22"/>
    <w:rsid w:val="0080519D"/>
    <w:rsid w:val="00805F24"/>
    <w:rsid w:val="00806109"/>
    <w:rsid w:val="008063B9"/>
    <w:rsid w:val="00806903"/>
    <w:rsid w:val="008071C6"/>
    <w:rsid w:val="008075E3"/>
    <w:rsid w:val="00807A38"/>
    <w:rsid w:val="00807AAF"/>
    <w:rsid w:val="00807DB5"/>
    <w:rsid w:val="00807FDC"/>
    <w:rsid w:val="00810AD1"/>
    <w:rsid w:val="0081100B"/>
    <w:rsid w:val="008110E5"/>
    <w:rsid w:val="00811AEB"/>
    <w:rsid w:val="0081321B"/>
    <w:rsid w:val="008138BB"/>
    <w:rsid w:val="00813A6B"/>
    <w:rsid w:val="00813C4E"/>
    <w:rsid w:val="00813E10"/>
    <w:rsid w:val="0081449A"/>
    <w:rsid w:val="00815398"/>
    <w:rsid w:val="00815849"/>
    <w:rsid w:val="00816484"/>
    <w:rsid w:val="00816BBC"/>
    <w:rsid w:val="00816DA5"/>
    <w:rsid w:val="008218CC"/>
    <w:rsid w:val="00821959"/>
    <w:rsid w:val="00821E91"/>
    <w:rsid w:val="00821F18"/>
    <w:rsid w:val="0082250B"/>
    <w:rsid w:val="0082251A"/>
    <w:rsid w:val="008225F8"/>
    <w:rsid w:val="00822638"/>
    <w:rsid w:val="008238C8"/>
    <w:rsid w:val="00823D7F"/>
    <w:rsid w:val="0082410E"/>
    <w:rsid w:val="0082443E"/>
    <w:rsid w:val="0082454E"/>
    <w:rsid w:val="00824822"/>
    <w:rsid w:val="0082492D"/>
    <w:rsid w:val="008250B7"/>
    <w:rsid w:val="00826E8D"/>
    <w:rsid w:val="00827417"/>
    <w:rsid w:val="00827981"/>
    <w:rsid w:val="00830340"/>
    <w:rsid w:val="008305B0"/>
    <w:rsid w:val="00830929"/>
    <w:rsid w:val="00830AAB"/>
    <w:rsid w:val="0083149C"/>
    <w:rsid w:val="00831D45"/>
    <w:rsid w:val="00831F91"/>
    <w:rsid w:val="008323C1"/>
    <w:rsid w:val="00832C86"/>
    <w:rsid w:val="008343C5"/>
    <w:rsid w:val="00834642"/>
    <w:rsid w:val="00834720"/>
    <w:rsid w:val="00835362"/>
    <w:rsid w:val="00835470"/>
    <w:rsid w:val="008358E0"/>
    <w:rsid w:val="00836032"/>
    <w:rsid w:val="00836BAF"/>
    <w:rsid w:val="00837442"/>
    <w:rsid w:val="008376C4"/>
    <w:rsid w:val="00837F50"/>
    <w:rsid w:val="0084060E"/>
    <w:rsid w:val="00841226"/>
    <w:rsid w:val="0084125F"/>
    <w:rsid w:val="00842141"/>
    <w:rsid w:val="00842FDA"/>
    <w:rsid w:val="008432EE"/>
    <w:rsid w:val="008435CD"/>
    <w:rsid w:val="00843820"/>
    <w:rsid w:val="00844003"/>
    <w:rsid w:val="008440BE"/>
    <w:rsid w:val="008442E3"/>
    <w:rsid w:val="00844368"/>
    <w:rsid w:val="00844709"/>
    <w:rsid w:val="00844AA5"/>
    <w:rsid w:val="00844D24"/>
    <w:rsid w:val="008455B5"/>
    <w:rsid w:val="00845ACA"/>
    <w:rsid w:val="00846637"/>
    <w:rsid w:val="00847124"/>
    <w:rsid w:val="00847159"/>
    <w:rsid w:val="008504F7"/>
    <w:rsid w:val="00850A21"/>
    <w:rsid w:val="008527C6"/>
    <w:rsid w:val="00852A65"/>
    <w:rsid w:val="00852DCD"/>
    <w:rsid w:val="00854749"/>
    <w:rsid w:val="00854864"/>
    <w:rsid w:val="0085495A"/>
    <w:rsid w:val="00854F01"/>
    <w:rsid w:val="00855089"/>
    <w:rsid w:val="008550C1"/>
    <w:rsid w:val="00855836"/>
    <w:rsid w:val="00855C93"/>
    <w:rsid w:val="00855DAB"/>
    <w:rsid w:val="00856038"/>
    <w:rsid w:val="00856326"/>
    <w:rsid w:val="0085640B"/>
    <w:rsid w:val="0085765E"/>
    <w:rsid w:val="00857A66"/>
    <w:rsid w:val="00857C4F"/>
    <w:rsid w:val="00860394"/>
    <w:rsid w:val="00860A47"/>
    <w:rsid w:val="00861176"/>
    <w:rsid w:val="00861AA8"/>
    <w:rsid w:val="008625CE"/>
    <w:rsid w:val="008629F0"/>
    <w:rsid w:val="00863661"/>
    <w:rsid w:val="00863883"/>
    <w:rsid w:val="008641A1"/>
    <w:rsid w:val="0086460C"/>
    <w:rsid w:val="008647E4"/>
    <w:rsid w:val="00864CD3"/>
    <w:rsid w:val="008652E0"/>
    <w:rsid w:val="00865877"/>
    <w:rsid w:val="00865DBE"/>
    <w:rsid w:val="00866012"/>
    <w:rsid w:val="00866404"/>
    <w:rsid w:val="00866752"/>
    <w:rsid w:val="00866B9F"/>
    <w:rsid w:val="00866EF9"/>
    <w:rsid w:val="0086720B"/>
    <w:rsid w:val="008673A7"/>
    <w:rsid w:val="00870296"/>
    <w:rsid w:val="00871D25"/>
    <w:rsid w:val="00873201"/>
    <w:rsid w:val="00873515"/>
    <w:rsid w:val="00874381"/>
    <w:rsid w:val="00874D20"/>
    <w:rsid w:val="00875010"/>
    <w:rsid w:val="00876C57"/>
    <w:rsid w:val="00876DDC"/>
    <w:rsid w:val="00876E6F"/>
    <w:rsid w:val="00876EE0"/>
    <w:rsid w:val="008779DF"/>
    <w:rsid w:val="00877E18"/>
    <w:rsid w:val="008807BA"/>
    <w:rsid w:val="00881178"/>
    <w:rsid w:val="00881E1D"/>
    <w:rsid w:val="008824FC"/>
    <w:rsid w:val="008831BA"/>
    <w:rsid w:val="00883368"/>
    <w:rsid w:val="00883490"/>
    <w:rsid w:val="0088416A"/>
    <w:rsid w:val="0088474D"/>
    <w:rsid w:val="00884AD9"/>
    <w:rsid w:val="00885299"/>
    <w:rsid w:val="008859BA"/>
    <w:rsid w:val="008861EC"/>
    <w:rsid w:val="008866B5"/>
    <w:rsid w:val="00886728"/>
    <w:rsid w:val="00887518"/>
    <w:rsid w:val="00887909"/>
    <w:rsid w:val="00887C87"/>
    <w:rsid w:val="00887E24"/>
    <w:rsid w:val="008909E7"/>
    <w:rsid w:val="00890ADA"/>
    <w:rsid w:val="008917DD"/>
    <w:rsid w:val="00891BCA"/>
    <w:rsid w:val="008925EA"/>
    <w:rsid w:val="00892911"/>
    <w:rsid w:val="008933DB"/>
    <w:rsid w:val="0089350C"/>
    <w:rsid w:val="008941C3"/>
    <w:rsid w:val="00895376"/>
    <w:rsid w:val="00895580"/>
    <w:rsid w:val="00895A78"/>
    <w:rsid w:val="0089603F"/>
    <w:rsid w:val="0089624D"/>
    <w:rsid w:val="0089632C"/>
    <w:rsid w:val="00896A3E"/>
    <w:rsid w:val="00896C77"/>
    <w:rsid w:val="008974A1"/>
    <w:rsid w:val="00897AB4"/>
    <w:rsid w:val="00897BA6"/>
    <w:rsid w:val="008A0402"/>
    <w:rsid w:val="008A04A7"/>
    <w:rsid w:val="008A04AB"/>
    <w:rsid w:val="008A1AB0"/>
    <w:rsid w:val="008A1DDF"/>
    <w:rsid w:val="008A1F01"/>
    <w:rsid w:val="008A21B5"/>
    <w:rsid w:val="008A21E9"/>
    <w:rsid w:val="008A2B0D"/>
    <w:rsid w:val="008A2B8D"/>
    <w:rsid w:val="008A2BAF"/>
    <w:rsid w:val="008A2DAA"/>
    <w:rsid w:val="008A3522"/>
    <w:rsid w:val="008A3704"/>
    <w:rsid w:val="008A4160"/>
    <w:rsid w:val="008A4183"/>
    <w:rsid w:val="008A4426"/>
    <w:rsid w:val="008A527E"/>
    <w:rsid w:val="008A56BB"/>
    <w:rsid w:val="008B010F"/>
    <w:rsid w:val="008B0287"/>
    <w:rsid w:val="008B130A"/>
    <w:rsid w:val="008B164C"/>
    <w:rsid w:val="008B17EC"/>
    <w:rsid w:val="008B1823"/>
    <w:rsid w:val="008B1D64"/>
    <w:rsid w:val="008B1FD4"/>
    <w:rsid w:val="008B2411"/>
    <w:rsid w:val="008B24B4"/>
    <w:rsid w:val="008B2631"/>
    <w:rsid w:val="008B2815"/>
    <w:rsid w:val="008B298B"/>
    <w:rsid w:val="008B2C7A"/>
    <w:rsid w:val="008B3067"/>
    <w:rsid w:val="008B39AD"/>
    <w:rsid w:val="008B447C"/>
    <w:rsid w:val="008B4980"/>
    <w:rsid w:val="008B4CDB"/>
    <w:rsid w:val="008B5891"/>
    <w:rsid w:val="008B64AF"/>
    <w:rsid w:val="008B64E8"/>
    <w:rsid w:val="008B6B3E"/>
    <w:rsid w:val="008B6C7E"/>
    <w:rsid w:val="008C0D15"/>
    <w:rsid w:val="008C0EC7"/>
    <w:rsid w:val="008C0F4E"/>
    <w:rsid w:val="008C1316"/>
    <w:rsid w:val="008C1E49"/>
    <w:rsid w:val="008C300C"/>
    <w:rsid w:val="008C3609"/>
    <w:rsid w:val="008C360C"/>
    <w:rsid w:val="008C3D91"/>
    <w:rsid w:val="008C3E70"/>
    <w:rsid w:val="008C3F42"/>
    <w:rsid w:val="008C573B"/>
    <w:rsid w:val="008C5825"/>
    <w:rsid w:val="008C5C32"/>
    <w:rsid w:val="008C6029"/>
    <w:rsid w:val="008C679C"/>
    <w:rsid w:val="008C6F1D"/>
    <w:rsid w:val="008C797A"/>
    <w:rsid w:val="008C7C65"/>
    <w:rsid w:val="008C7E6F"/>
    <w:rsid w:val="008D05AB"/>
    <w:rsid w:val="008D0A49"/>
    <w:rsid w:val="008D18AA"/>
    <w:rsid w:val="008D1C29"/>
    <w:rsid w:val="008D1EA6"/>
    <w:rsid w:val="008D2A4D"/>
    <w:rsid w:val="008D38A2"/>
    <w:rsid w:val="008D390B"/>
    <w:rsid w:val="008D4AB0"/>
    <w:rsid w:val="008D5935"/>
    <w:rsid w:val="008D5A45"/>
    <w:rsid w:val="008D5C39"/>
    <w:rsid w:val="008D5EC7"/>
    <w:rsid w:val="008D5FE5"/>
    <w:rsid w:val="008D67A9"/>
    <w:rsid w:val="008D6898"/>
    <w:rsid w:val="008D7F6D"/>
    <w:rsid w:val="008E07F8"/>
    <w:rsid w:val="008E09FF"/>
    <w:rsid w:val="008E0C8A"/>
    <w:rsid w:val="008E0DB8"/>
    <w:rsid w:val="008E0DDC"/>
    <w:rsid w:val="008E13B9"/>
    <w:rsid w:val="008E1986"/>
    <w:rsid w:val="008E1C15"/>
    <w:rsid w:val="008E1DB1"/>
    <w:rsid w:val="008E271C"/>
    <w:rsid w:val="008E2DA5"/>
    <w:rsid w:val="008E2F33"/>
    <w:rsid w:val="008E38A0"/>
    <w:rsid w:val="008E39E0"/>
    <w:rsid w:val="008E4216"/>
    <w:rsid w:val="008E42EF"/>
    <w:rsid w:val="008E4B22"/>
    <w:rsid w:val="008E50C0"/>
    <w:rsid w:val="008E50EC"/>
    <w:rsid w:val="008E52D2"/>
    <w:rsid w:val="008E54B7"/>
    <w:rsid w:val="008E5AFA"/>
    <w:rsid w:val="008E5B55"/>
    <w:rsid w:val="008E5F51"/>
    <w:rsid w:val="008E6044"/>
    <w:rsid w:val="008E60DD"/>
    <w:rsid w:val="008E62C9"/>
    <w:rsid w:val="008E67E0"/>
    <w:rsid w:val="008E6819"/>
    <w:rsid w:val="008E6832"/>
    <w:rsid w:val="008E6CA5"/>
    <w:rsid w:val="008E6E3A"/>
    <w:rsid w:val="008E751D"/>
    <w:rsid w:val="008E7CCE"/>
    <w:rsid w:val="008F0573"/>
    <w:rsid w:val="008F0B3F"/>
    <w:rsid w:val="008F0F7E"/>
    <w:rsid w:val="008F11E0"/>
    <w:rsid w:val="008F167A"/>
    <w:rsid w:val="008F193B"/>
    <w:rsid w:val="008F25F6"/>
    <w:rsid w:val="008F268E"/>
    <w:rsid w:val="008F2C2E"/>
    <w:rsid w:val="008F2DDF"/>
    <w:rsid w:val="008F3038"/>
    <w:rsid w:val="008F3893"/>
    <w:rsid w:val="008F4054"/>
    <w:rsid w:val="008F4659"/>
    <w:rsid w:val="008F65BF"/>
    <w:rsid w:val="008F686D"/>
    <w:rsid w:val="008F6E21"/>
    <w:rsid w:val="008F70FE"/>
    <w:rsid w:val="008F72E7"/>
    <w:rsid w:val="008F73DA"/>
    <w:rsid w:val="008F774A"/>
    <w:rsid w:val="009005F8"/>
    <w:rsid w:val="00900775"/>
    <w:rsid w:val="00900848"/>
    <w:rsid w:val="00900BA9"/>
    <w:rsid w:val="00901911"/>
    <w:rsid w:val="00901E41"/>
    <w:rsid w:val="00901E45"/>
    <w:rsid w:val="00902FF5"/>
    <w:rsid w:val="009030AD"/>
    <w:rsid w:val="009044CE"/>
    <w:rsid w:val="0090677D"/>
    <w:rsid w:val="00906AB5"/>
    <w:rsid w:val="00906E8A"/>
    <w:rsid w:val="00907839"/>
    <w:rsid w:val="00907A9E"/>
    <w:rsid w:val="009103FB"/>
    <w:rsid w:val="00910E0D"/>
    <w:rsid w:val="0091118E"/>
    <w:rsid w:val="009114E1"/>
    <w:rsid w:val="0091207B"/>
    <w:rsid w:val="00912D94"/>
    <w:rsid w:val="00913654"/>
    <w:rsid w:val="00913707"/>
    <w:rsid w:val="00913751"/>
    <w:rsid w:val="009153A8"/>
    <w:rsid w:val="00915513"/>
    <w:rsid w:val="00915839"/>
    <w:rsid w:val="00916119"/>
    <w:rsid w:val="0091619B"/>
    <w:rsid w:val="009172D7"/>
    <w:rsid w:val="00917730"/>
    <w:rsid w:val="00917B31"/>
    <w:rsid w:val="00917CA4"/>
    <w:rsid w:val="00920534"/>
    <w:rsid w:val="00920C8A"/>
    <w:rsid w:val="00920E84"/>
    <w:rsid w:val="00921270"/>
    <w:rsid w:val="00921B9A"/>
    <w:rsid w:val="00921F13"/>
    <w:rsid w:val="00921F15"/>
    <w:rsid w:val="00922071"/>
    <w:rsid w:val="00922DEC"/>
    <w:rsid w:val="0092331E"/>
    <w:rsid w:val="00923D4A"/>
    <w:rsid w:val="00923E1F"/>
    <w:rsid w:val="00924E71"/>
    <w:rsid w:val="00925517"/>
    <w:rsid w:val="0092582D"/>
    <w:rsid w:val="00925865"/>
    <w:rsid w:val="00925E56"/>
    <w:rsid w:val="00925F0F"/>
    <w:rsid w:val="00925F37"/>
    <w:rsid w:val="00926146"/>
    <w:rsid w:val="00926888"/>
    <w:rsid w:val="00926F2A"/>
    <w:rsid w:val="009276EA"/>
    <w:rsid w:val="00927D4B"/>
    <w:rsid w:val="00930132"/>
    <w:rsid w:val="00930F6E"/>
    <w:rsid w:val="00931ED8"/>
    <w:rsid w:val="00932DB1"/>
    <w:rsid w:val="00933161"/>
    <w:rsid w:val="009332EB"/>
    <w:rsid w:val="00934379"/>
    <w:rsid w:val="009362F4"/>
    <w:rsid w:val="0093654B"/>
    <w:rsid w:val="009372E1"/>
    <w:rsid w:val="009404FE"/>
    <w:rsid w:val="009408E9"/>
    <w:rsid w:val="00940FFB"/>
    <w:rsid w:val="0094109E"/>
    <w:rsid w:val="009416A1"/>
    <w:rsid w:val="009419C2"/>
    <w:rsid w:val="00942848"/>
    <w:rsid w:val="009428DA"/>
    <w:rsid w:val="00942C19"/>
    <w:rsid w:val="00942C81"/>
    <w:rsid w:val="00943085"/>
    <w:rsid w:val="00943C0C"/>
    <w:rsid w:val="00943F2D"/>
    <w:rsid w:val="00944500"/>
    <w:rsid w:val="0094466E"/>
    <w:rsid w:val="00944B28"/>
    <w:rsid w:val="00945564"/>
    <w:rsid w:val="00945783"/>
    <w:rsid w:val="00945FBE"/>
    <w:rsid w:val="00945FF5"/>
    <w:rsid w:val="0094631C"/>
    <w:rsid w:val="009474D7"/>
    <w:rsid w:val="009479B4"/>
    <w:rsid w:val="00947DCC"/>
    <w:rsid w:val="00947F0B"/>
    <w:rsid w:val="00947F2C"/>
    <w:rsid w:val="00950105"/>
    <w:rsid w:val="009502BF"/>
    <w:rsid w:val="009505D7"/>
    <w:rsid w:val="009509FB"/>
    <w:rsid w:val="00950E34"/>
    <w:rsid w:val="0095151F"/>
    <w:rsid w:val="00951663"/>
    <w:rsid w:val="00951BD9"/>
    <w:rsid w:val="0095226D"/>
    <w:rsid w:val="0095399D"/>
    <w:rsid w:val="00953D51"/>
    <w:rsid w:val="009544D2"/>
    <w:rsid w:val="009545CC"/>
    <w:rsid w:val="00954C21"/>
    <w:rsid w:val="00954D4B"/>
    <w:rsid w:val="00954D8E"/>
    <w:rsid w:val="00954DC3"/>
    <w:rsid w:val="00954F37"/>
    <w:rsid w:val="00956B11"/>
    <w:rsid w:val="00956B74"/>
    <w:rsid w:val="00956C36"/>
    <w:rsid w:val="0095771C"/>
    <w:rsid w:val="0095793C"/>
    <w:rsid w:val="00957B5E"/>
    <w:rsid w:val="00957E50"/>
    <w:rsid w:val="00957F84"/>
    <w:rsid w:val="00960285"/>
    <w:rsid w:val="0096054D"/>
    <w:rsid w:val="0096096A"/>
    <w:rsid w:val="00961BFC"/>
    <w:rsid w:val="00962087"/>
    <w:rsid w:val="00962BC5"/>
    <w:rsid w:val="00962EF2"/>
    <w:rsid w:val="00962FED"/>
    <w:rsid w:val="00963030"/>
    <w:rsid w:val="00963779"/>
    <w:rsid w:val="00963CAE"/>
    <w:rsid w:val="009643C2"/>
    <w:rsid w:val="00964630"/>
    <w:rsid w:val="009661A2"/>
    <w:rsid w:val="00966417"/>
    <w:rsid w:val="00967004"/>
    <w:rsid w:val="00967039"/>
    <w:rsid w:val="0096716A"/>
    <w:rsid w:val="009701B3"/>
    <w:rsid w:val="00970467"/>
    <w:rsid w:val="0097094F"/>
    <w:rsid w:val="00970976"/>
    <w:rsid w:val="00970A11"/>
    <w:rsid w:val="00971435"/>
    <w:rsid w:val="00971653"/>
    <w:rsid w:val="00971D4C"/>
    <w:rsid w:val="00971E5E"/>
    <w:rsid w:val="0097221D"/>
    <w:rsid w:val="00972B7D"/>
    <w:rsid w:val="009731BB"/>
    <w:rsid w:val="009732B5"/>
    <w:rsid w:val="00973309"/>
    <w:rsid w:val="00973950"/>
    <w:rsid w:val="00973F38"/>
    <w:rsid w:val="009749E7"/>
    <w:rsid w:val="00975947"/>
    <w:rsid w:val="00976AC6"/>
    <w:rsid w:val="0097775F"/>
    <w:rsid w:val="00977AB6"/>
    <w:rsid w:val="0098040C"/>
    <w:rsid w:val="00980476"/>
    <w:rsid w:val="009808DD"/>
    <w:rsid w:val="009815F8"/>
    <w:rsid w:val="00981B18"/>
    <w:rsid w:val="00983271"/>
    <w:rsid w:val="0098380B"/>
    <w:rsid w:val="00983C8F"/>
    <w:rsid w:val="00984A7E"/>
    <w:rsid w:val="00984B7D"/>
    <w:rsid w:val="00984D5E"/>
    <w:rsid w:val="0098504C"/>
    <w:rsid w:val="009857B7"/>
    <w:rsid w:val="00985CA0"/>
    <w:rsid w:val="00986818"/>
    <w:rsid w:val="00986C48"/>
    <w:rsid w:val="0098740F"/>
    <w:rsid w:val="0099016D"/>
    <w:rsid w:val="00991490"/>
    <w:rsid w:val="00991730"/>
    <w:rsid w:val="00992AB4"/>
    <w:rsid w:val="00992E23"/>
    <w:rsid w:val="009933E6"/>
    <w:rsid w:val="00993AE8"/>
    <w:rsid w:val="00993D2F"/>
    <w:rsid w:val="00994061"/>
    <w:rsid w:val="00995240"/>
    <w:rsid w:val="00995288"/>
    <w:rsid w:val="0099674F"/>
    <w:rsid w:val="009967EF"/>
    <w:rsid w:val="00996FDF"/>
    <w:rsid w:val="00997731"/>
    <w:rsid w:val="00997747"/>
    <w:rsid w:val="00997822"/>
    <w:rsid w:val="00997A97"/>
    <w:rsid w:val="00997D22"/>
    <w:rsid w:val="00997DE9"/>
    <w:rsid w:val="009A06CA"/>
    <w:rsid w:val="009A0AE4"/>
    <w:rsid w:val="009A0BE7"/>
    <w:rsid w:val="009A137A"/>
    <w:rsid w:val="009A190B"/>
    <w:rsid w:val="009A2F96"/>
    <w:rsid w:val="009A2FCD"/>
    <w:rsid w:val="009A3180"/>
    <w:rsid w:val="009A367D"/>
    <w:rsid w:val="009A4188"/>
    <w:rsid w:val="009A42E7"/>
    <w:rsid w:val="009A532D"/>
    <w:rsid w:val="009A5AA6"/>
    <w:rsid w:val="009A5E56"/>
    <w:rsid w:val="009A6146"/>
    <w:rsid w:val="009A6172"/>
    <w:rsid w:val="009A645F"/>
    <w:rsid w:val="009A663E"/>
    <w:rsid w:val="009A7FFC"/>
    <w:rsid w:val="009B0203"/>
    <w:rsid w:val="009B0282"/>
    <w:rsid w:val="009B049B"/>
    <w:rsid w:val="009B0B85"/>
    <w:rsid w:val="009B0C84"/>
    <w:rsid w:val="009B114E"/>
    <w:rsid w:val="009B1B27"/>
    <w:rsid w:val="009B1BC4"/>
    <w:rsid w:val="009B22AD"/>
    <w:rsid w:val="009B2339"/>
    <w:rsid w:val="009B25F9"/>
    <w:rsid w:val="009B37BB"/>
    <w:rsid w:val="009B50B1"/>
    <w:rsid w:val="009B53E5"/>
    <w:rsid w:val="009B57BB"/>
    <w:rsid w:val="009B5905"/>
    <w:rsid w:val="009B5C79"/>
    <w:rsid w:val="009B75BC"/>
    <w:rsid w:val="009B7BA9"/>
    <w:rsid w:val="009B7F3C"/>
    <w:rsid w:val="009B7FE4"/>
    <w:rsid w:val="009B7FF4"/>
    <w:rsid w:val="009C008F"/>
    <w:rsid w:val="009C0B8A"/>
    <w:rsid w:val="009C0E87"/>
    <w:rsid w:val="009C115D"/>
    <w:rsid w:val="009C15E1"/>
    <w:rsid w:val="009C1ADA"/>
    <w:rsid w:val="009C1DB7"/>
    <w:rsid w:val="009C1E08"/>
    <w:rsid w:val="009C2317"/>
    <w:rsid w:val="009C2948"/>
    <w:rsid w:val="009C297E"/>
    <w:rsid w:val="009C2DC4"/>
    <w:rsid w:val="009C30FF"/>
    <w:rsid w:val="009C3229"/>
    <w:rsid w:val="009C357C"/>
    <w:rsid w:val="009C3637"/>
    <w:rsid w:val="009C3E09"/>
    <w:rsid w:val="009C455E"/>
    <w:rsid w:val="009C4C37"/>
    <w:rsid w:val="009C5E62"/>
    <w:rsid w:val="009C61DB"/>
    <w:rsid w:val="009C625D"/>
    <w:rsid w:val="009C7135"/>
    <w:rsid w:val="009C7213"/>
    <w:rsid w:val="009C73BB"/>
    <w:rsid w:val="009C75F9"/>
    <w:rsid w:val="009C799A"/>
    <w:rsid w:val="009C7BC9"/>
    <w:rsid w:val="009D00EE"/>
    <w:rsid w:val="009D085E"/>
    <w:rsid w:val="009D0DE9"/>
    <w:rsid w:val="009D0E78"/>
    <w:rsid w:val="009D1072"/>
    <w:rsid w:val="009D204C"/>
    <w:rsid w:val="009D215D"/>
    <w:rsid w:val="009D2504"/>
    <w:rsid w:val="009D2584"/>
    <w:rsid w:val="009D2741"/>
    <w:rsid w:val="009D29A0"/>
    <w:rsid w:val="009D2D37"/>
    <w:rsid w:val="009D3E62"/>
    <w:rsid w:val="009D3FA5"/>
    <w:rsid w:val="009D40FC"/>
    <w:rsid w:val="009D453D"/>
    <w:rsid w:val="009D490B"/>
    <w:rsid w:val="009D4AFF"/>
    <w:rsid w:val="009D4E64"/>
    <w:rsid w:val="009D53F4"/>
    <w:rsid w:val="009D5EFE"/>
    <w:rsid w:val="009D6754"/>
    <w:rsid w:val="009D683E"/>
    <w:rsid w:val="009D68F6"/>
    <w:rsid w:val="009D69C4"/>
    <w:rsid w:val="009D6AC6"/>
    <w:rsid w:val="009D7778"/>
    <w:rsid w:val="009D791D"/>
    <w:rsid w:val="009D7C0A"/>
    <w:rsid w:val="009D7C0F"/>
    <w:rsid w:val="009E0768"/>
    <w:rsid w:val="009E08B0"/>
    <w:rsid w:val="009E106C"/>
    <w:rsid w:val="009E127D"/>
    <w:rsid w:val="009E145E"/>
    <w:rsid w:val="009E1776"/>
    <w:rsid w:val="009E1D79"/>
    <w:rsid w:val="009E1FAF"/>
    <w:rsid w:val="009E2024"/>
    <w:rsid w:val="009E20B7"/>
    <w:rsid w:val="009E20E4"/>
    <w:rsid w:val="009E2634"/>
    <w:rsid w:val="009E2784"/>
    <w:rsid w:val="009E2834"/>
    <w:rsid w:val="009E292A"/>
    <w:rsid w:val="009E3294"/>
    <w:rsid w:val="009E4849"/>
    <w:rsid w:val="009E4C47"/>
    <w:rsid w:val="009E5748"/>
    <w:rsid w:val="009E5B70"/>
    <w:rsid w:val="009E5EED"/>
    <w:rsid w:val="009E66FD"/>
    <w:rsid w:val="009E677C"/>
    <w:rsid w:val="009E6AC4"/>
    <w:rsid w:val="009E6D55"/>
    <w:rsid w:val="009E72AA"/>
    <w:rsid w:val="009E794B"/>
    <w:rsid w:val="009E7E9C"/>
    <w:rsid w:val="009E7EEC"/>
    <w:rsid w:val="009F00D0"/>
    <w:rsid w:val="009F076E"/>
    <w:rsid w:val="009F0AD5"/>
    <w:rsid w:val="009F0E07"/>
    <w:rsid w:val="009F198C"/>
    <w:rsid w:val="009F2230"/>
    <w:rsid w:val="009F2769"/>
    <w:rsid w:val="009F2D1D"/>
    <w:rsid w:val="009F2EA8"/>
    <w:rsid w:val="009F32C1"/>
    <w:rsid w:val="009F37C0"/>
    <w:rsid w:val="009F37CF"/>
    <w:rsid w:val="009F3BC7"/>
    <w:rsid w:val="009F3E52"/>
    <w:rsid w:val="009F43D5"/>
    <w:rsid w:val="009F4D08"/>
    <w:rsid w:val="009F5B2C"/>
    <w:rsid w:val="009F5CFC"/>
    <w:rsid w:val="009F5FF0"/>
    <w:rsid w:val="009F62A3"/>
    <w:rsid w:val="009F6442"/>
    <w:rsid w:val="009F673F"/>
    <w:rsid w:val="009F7BCE"/>
    <w:rsid w:val="009F7F66"/>
    <w:rsid w:val="00A000D1"/>
    <w:rsid w:val="00A0027F"/>
    <w:rsid w:val="00A004C9"/>
    <w:rsid w:val="00A0069F"/>
    <w:rsid w:val="00A0099A"/>
    <w:rsid w:val="00A00C8B"/>
    <w:rsid w:val="00A015F3"/>
    <w:rsid w:val="00A020D6"/>
    <w:rsid w:val="00A0244A"/>
    <w:rsid w:val="00A02463"/>
    <w:rsid w:val="00A02647"/>
    <w:rsid w:val="00A027CC"/>
    <w:rsid w:val="00A028FA"/>
    <w:rsid w:val="00A029B0"/>
    <w:rsid w:val="00A031FB"/>
    <w:rsid w:val="00A034C9"/>
    <w:rsid w:val="00A03990"/>
    <w:rsid w:val="00A03A48"/>
    <w:rsid w:val="00A044AB"/>
    <w:rsid w:val="00A04E00"/>
    <w:rsid w:val="00A04E63"/>
    <w:rsid w:val="00A06629"/>
    <w:rsid w:val="00A06DE2"/>
    <w:rsid w:val="00A07B32"/>
    <w:rsid w:val="00A07F19"/>
    <w:rsid w:val="00A10EA6"/>
    <w:rsid w:val="00A11647"/>
    <w:rsid w:val="00A11BB0"/>
    <w:rsid w:val="00A12240"/>
    <w:rsid w:val="00A12879"/>
    <w:rsid w:val="00A12F1C"/>
    <w:rsid w:val="00A12F48"/>
    <w:rsid w:val="00A1306C"/>
    <w:rsid w:val="00A1353D"/>
    <w:rsid w:val="00A14583"/>
    <w:rsid w:val="00A1487C"/>
    <w:rsid w:val="00A1502A"/>
    <w:rsid w:val="00A150C3"/>
    <w:rsid w:val="00A1572E"/>
    <w:rsid w:val="00A15B74"/>
    <w:rsid w:val="00A16077"/>
    <w:rsid w:val="00A16164"/>
    <w:rsid w:val="00A1622A"/>
    <w:rsid w:val="00A16A1E"/>
    <w:rsid w:val="00A16B21"/>
    <w:rsid w:val="00A16B99"/>
    <w:rsid w:val="00A16FAB"/>
    <w:rsid w:val="00A17130"/>
    <w:rsid w:val="00A171DD"/>
    <w:rsid w:val="00A1774D"/>
    <w:rsid w:val="00A177C9"/>
    <w:rsid w:val="00A1799B"/>
    <w:rsid w:val="00A1799D"/>
    <w:rsid w:val="00A201F4"/>
    <w:rsid w:val="00A20259"/>
    <w:rsid w:val="00A2026C"/>
    <w:rsid w:val="00A203E3"/>
    <w:rsid w:val="00A20877"/>
    <w:rsid w:val="00A20927"/>
    <w:rsid w:val="00A20EE9"/>
    <w:rsid w:val="00A21020"/>
    <w:rsid w:val="00A2141E"/>
    <w:rsid w:val="00A21D7A"/>
    <w:rsid w:val="00A21D83"/>
    <w:rsid w:val="00A22AF9"/>
    <w:rsid w:val="00A22BC4"/>
    <w:rsid w:val="00A23202"/>
    <w:rsid w:val="00A2321C"/>
    <w:rsid w:val="00A23322"/>
    <w:rsid w:val="00A23D02"/>
    <w:rsid w:val="00A252B5"/>
    <w:rsid w:val="00A25A1B"/>
    <w:rsid w:val="00A25CFC"/>
    <w:rsid w:val="00A25D28"/>
    <w:rsid w:val="00A261F5"/>
    <w:rsid w:val="00A263E3"/>
    <w:rsid w:val="00A2691C"/>
    <w:rsid w:val="00A26966"/>
    <w:rsid w:val="00A269D0"/>
    <w:rsid w:val="00A27441"/>
    <w:rsid w:val="00A276AD"/>
    <w:rsid w:val="00A2786F"/>
    <w:rsid w:val="00A3047D"/>
    <w:rsid w:val="00A3199C"/>
    <w:rsid w:val="00A31C3F"/>
    <w:rsid w:val="00A31DA4"/>
    <w:rsid w:val="00A32123"/>
    <w:rsid w:val="00A323F5"/>
    <w:rsid w:val="00A3277B"/>
    <w:rsid w:val="00A32CDF"/>
    <w:rsid w:val="00A32F7D"/>
    <w:rsid w:val="00A3318C"/>
    <w:rsid w:val="00A33378"/>
    <w:rsid w:val="00A33F6E"/>
    <w:rsid w:val="00A3427E"/>
    <w:rsid w:val="00A3469E"/>
    <w:rsid w:val="00A34E1A"/>
    <w:rsid w:val="00A36468"/>
    <w:rsid w:val="00A3650C"/>
    <w:rsid w:val="00A36925"/>
    <w:rsid w:val="00A3733B"/>
    <w:rsid w:val="00A374DE"/>
    <w:rsid w:val="00A40603"/>
    <w:rsid w:val="00A4092B"/>
    <w:rsid w:val="00A40BA1"/>
    <w:rsid w:val="00A41089"/>
    <w:rsid w:val="00A41E3A"/>
    <w:rsid w:val="00A42862"/>
    <w:rsid w:val="00A43D42"/>
    <w:rsid w:val="00A43DE0"/>
    <w:rsid w:val="00A4435F"/>
    <w:rsid w:val="00A44E73"/>
    <w:rsid w:val="00A44F99"/>
    <w:rsid w:val="00A457EF"/>
    <w:rsid w:val="00A459E3"/>
    <w:rsid w:val="00A45EC7"/>
    <w:rsid w:val="00A46448"/>
    <w:rsid w:val="00A46FDA"/>
    <w:rsid w:val="00A471DB"/>
    <w:rsid w:val="00A506CA"/>
    <w:rsid w:val="00A506F1"/>
    <w:rsid w:val="00A50D90"/>
    <w:rsid w:val="00A514E0"/>
    <w:rsid w:val="00A51504"/>
    <w:rsid w:val="00A5161A"/>
    <w:rsid w:val="00A51A8A"/>
    <w:rsid w:val="00A523A8"/>
    <w:rsid w:val="00A52CE4"/>
    <w:rsid w:val="00A52F91"/>
    <w:rsid w:val="00A53834"/>
    <w:rsid w:val="00A53BB7"/>
    <w:rsid w:val="00A53F04"/>
    <w:rsid w:val="00A5479C"/>
    <w:rsid w:val="00A54B1E"/>
    <w:rsid w:val="00A54F37"/>
    <w:rsid w:val="00A56666"/>
    <w:rsid w:val="00A56959"/>
    <w:rsid w:val="00A56C73"/>
    <w:rsid w:val="00A56DFB"/>
    <w:rsid w:val="00A60017"/>
    <w:rsid w:val="00A60C4E"/>
    <w:rsid w:val="00A6169B"/>
    <w:rsid w:val="00A61C87"/>
    <w:rsid w:val="00A621A2"/>
    <w:rsid w:val="00A622E8"/>
    <w:rsid w:val="00A62734"/>
    <w:rsid w:val="00A62A0F"/>
    <w:rsid w:val="00A62FBE"/>
    <w:rsid w:val="00A6326F"/>
    <w:rsid w:val="00A6338B"/>
    <w:rsid w:val="00A6352D"/>
    <w:rsid w:val="00A638DF"/>
    <w:rsid w:val="00A63B49"/>
    <w:rsid w:val="00A63C0B"/>
    <w:rsid w:val="00A63C14"/>
    <w:rsid w:val="00A63D7D"/>
    <w:rsid w:val="00A63F1F"/>
    <w:rsid w:val="00A6415C"/>
    <w:rsid w:val="00A64C6B"/>
    <w:rsid w:val="00A64F3E"/>
    <w:rsid w:val="00A650E0"/>
    <w:rsid w:val="00A655BE"/>
    <w:rsid w:val="00A65853"/>
    <w:rsid w:val="00A65E49"/>
    <w:rsid w:val="00A65E56"/>
    <w:rsid w:val="00A65FD2"/>
    <w:rsid w:val="00A664AB"/>
    <w:rsid w:val="00A6689C"/>
    <w:rsid w:val="00A66E55"/>
    <w:rsid w:val="00A66F17"/>
    <w:rsid w:val="00A67BD7"/>
    <w:rsid w:val="00A67E5A"/>
    <w:rsid w:val="00A7038B"/>
    <w:rsid w:val="00A703F9"/>
    <w:rsid w:val="00A70E7E"/>
    <w:rsid w:val="00A70E8F"/>
    <w:rsid w:val="00A70F88"/>
    <w:rsid w:val="00A70F9F"/>
    <w:rsid w:val="00A7140C"/>
    <w:rsid w:val="00A7156D"/>
    <w:rsid w:val="00A71635"/>
    <w:rsid w:val="00A72017"/>
    <w:rsid w:val="00A72D5D"/>
    <w:rsid w:val="00A734A2"/>
    <w:rsid w:val="00A7370E"/>
    <w:rsid w:val="00A737DC"/>
    <w:rsid w:val="00A73B00"/>
    <w:rsid w:val="00A7412D"/>
    <w:rsid w:val="00A74134"/>
    <w:rsid w:val="00A7549D"/>
    <w:rsid w:val="00A75AE0"/>
    <w:rsid w:val="00A75BCB"/>
    <w:rsid w:val="00A75D52"/>
    <w:rsid w:val="00A76695"/>
    <w:rsid w:val="00A77261"/>
    <w:rsid w:val="00A77D8C"/>
    <w:rsid w:val="00A77F28"/>
    <w:rsid w:val="00A803AC"/>
    <w:rsid w:val="00A8054A"/>
    <w:rsid w:val="00A8096D"/>
    <w:rsid w:val="00A809C0"/>
    <w:rsid w:val="00A80AA3"/>
    <w:rsid w:val="00A81198"/>
    <w:rsid w:val="00A81370"/>
    <w:rsid w:val="00A81611"/>
    <w:rsid w:val="00A81CF5"/>
    <w:rsid w:val="00A81E51"/>
    <w:rsid w:val="00A81EA4"/>
    <w:rsid w:val="00A81EB0"/>
    <w:rsid w:val="00A82175"/>
    <w:rsid w:val="00A82C7F"/>
    <w:rsid w:val="00A82D7C"/>
    <w:rsid w:val="00A831F3"/>
    <w:rsid w:val="00A834A0"/>
    <w:rsid w:val="00A83F63"/>
    <w:rsid w:val="00A8429E"/>
    <w:rsid w:val="00A84708"/>
    <w:rsid w:val="00A847D8"/>
    <w:rsid w:val="00A852C0"/>
    <w:rsid w:val="00A85463"/>
    <w:rsid w:val="00A857F9"/>
    <w:rsid w:val="00A85820"/>
    <w:rsid w:val="00A858D9"/>
    <w:rsid w:val="00A859E3"/>
    <w:rsid w:val="00A85D11"/>
    <w:rsid w:val="00A869C3"/>
    <w:rsid w:val="00A875B9"/>
    <w:rsid w:val="00A8760E"/>
    <w:rsid w:val="00A87D3B"/>
    <w:rsid w:val="00A87E87"/>
    <w:rsid w:val="00A87FB6"/>
    <w:rsid w:val="00A90073"/>
    <w:rsid w:val="00A90640"/>
    <w:rsid w:val="00A9067F"/>
    <w:rsid w:val="00A90ABD"/>
    <w:rsid w:val="00A9231E"/>
    <w:rsid w:val="00A9277F"/>
    <w:rsid w:val="00A92AAE"/>
    <w:rsid w:val="00A93980"/>
    <w:rsid w:val="00A93992"/>
    <w:rsid w:val="00A93B26"/>
    <w:rsid w:val="00A94538"/>
    <w:rsid w:val="00A94ADA"/>
    <w:rsid w:val="00A956BE"/>
    <w:rsid w:val="00A95992"/>
    <w:rsid w:val="00A96481"/>
    <w:rsid w:val="00A973CC"/>
    <w:rsid w:val="00A976E9"/>
    <w:rsid w:val="00A97B84"/>
    <w:rsid w:val="00A97C70"/>
    <w:rsid w:val="00AA0240"/>
    <w:rsid w:val="00AA0851"/>
    <w:rsid w:val="00AA0E5F"/>
    <w:rsid w:val="00AA158E"/>
    <w:rsid w:val="00AA255A"/>
    <w:rsid w:val="00AA3366"/>
    <w:rsid w:val="00AA33AA"/>
    <w:rsid w:val="00AA3619"/>
    <w:rsid w:val="00AA364B"/>
    <w:rsid w:val="00AA4BE1"/>
    <w:rsid w:val="00AA5928"/>
    <w:rsid w:val="00AA5A09"/>
    <w:rsid w:val="00AA6056"/>
    <w:rsid w:val="00AA61C4"/>
    <w:rsid w:val="00AA61CD"/>
    <w:rsid w:val="00AA62DB"/>
    <w:rsid w:val="00AA63A1"/>
    <w:rsid w:val="00AA63D1"/>
    <w:rsid w:val="00AA6487"/>
    <w:rsid w:val="00AA6507"/>
    <w:rsid w:val="00AA6997"/>
    <w:rsid w:val="00AA6B0E"/>
    <w:rsid w:val="00AA70CE"/>
    <w:rsid w:val="00AA7D40"/>
    <w:rsid w:val="00AA7EB6"/>
    <w:rsid w:val="00AB07CD"/>
    <w:rsid w:val="00AB0842"/>
    <w:rsid w:val="00AB0FED"/>
    <w:rsid w:val="00AB1A4D"/>
    <w:rsid w:val="00AB1E54"/>
    <w:rsid w:val="00AB2353"/>
    <w:rsid w:val="00AB2692"/>
    <w:rsid w:val="00AB32D4"/>
    <w:rsid w:val="00AB34EA"/>
    <w:rsid w:val="00AB3886"/>
    <w:rsid w:val="00AB5251"/>
    <w:rsid w:val="00AB5993"/>
    <w:rsid w:val="00AB59AF"/>
    <w:rsid w:val="00AB5B1E"/>
    <w:rsid w:val="00AB5CA0"/>
    <w:rsid w:val="00AB5EBB"/>
    <w:rsid w:val="00AB61FD"/>
    <w:rsid w:val="00AB6585"/>
    <w:rsid w:val="00AB6C22"/>
    <w:rsid w:val="00AB6EDB"/>
    <w:rsid w:val="00AB6FB5"/>
    <w:rsid w:val="00AB759E"/>
    <w:rsid w:val="00AB76E2"/>
    <w:rsid w:val="00AB7764"/>
    <w:rsid w:val="00AB7962"/>
    <w:rsid w:val="00AB7F36"/>
    <w:rsid w:val="00AC0F17"/>
    <w:rsid w:val="00AC116E"/>
    <w:rsid w:val="00AC2023"/>
    <w:rsid w:val="00AC2735"/>
    <w:rsid w:val="00AC2B62"/>
    <w:rsid w:val="00AC30C2"/>
    <w:rsid w:val="00AC3954"/>
    <w:rsid w:val="00AC4085"/>
    <w:rsid w:val="00AC4322"/>
    <w:rsid w:val="00AC4563"/>
    <w:rsid w:val="00AC56C4"/>
    <w:rsid w:val="00AC579A"/>
    <w:rsid w:val="00AC5A46"/>
    <w:rsid w:val="00AC61A9"/>
    <w:rsid w:val="00AC61D9"/>
    <w:rsid w:val="00AC63A3"/>
    <w:rsid w:val="00AC63EA"/>
    <w:rsid w:val="00AC67E4"/>
    <w:rsid w:val="00AC6B38"/>
    <w:rsid w:val="00AC7042"/>
    <w:rsid w:val="00AC713D"/>
    <w:rsid w:val="00AC7316"/>
    <w:rsid w:val="00AC7A1A"/>
    <w:rsid w:val="00AC7C88"/>
    <w:rsid w:val="00AD0576"/>
    <w:rsid w:val="00AD0BF3"/>
    <w:rsid w:val="00AD0FA4"/>
    <w:rsid w:val="00AD183E"/>
    <w:rsid w:val="00AD2011"/>
    <w:rsid w:val="00AD2D44"/>
    <w:rsid w:val="00AD3E72"/>
    <w:rsid w:val="00AD4C41"/>
    <w:rsid w:val="00AD4E7D"/>
    <w:rsid w:val="00AD5179"/>
    <w:rsid w:val="00AD528D"/>
    <w:rsid w:val="00AD5BEB"/>
    <w:rsid w:val="00AD5CEC"/>
    <w:rsid w:val="00AD645C"/>
    <w:rsid w:val="00AD6C31"/>
    <w:rsid w:val="00AD6F27"/>
    <w:rsid w:val="00AD707D"/>
    <w:rsid w:val="00AD7ADF"/>
    <w:rsid w:val="00AD7E31"/>
    <w:rsid w:val="00AD7F33"/>
    <w:rsid w:val="00AE00D9"/>
    <w:rsid w:val="00AE05B0"/>
    <w:rsid w:val="00AE0F0A"/>
    <w:rsid w:val="00AE1513"/>
    <w:rsid w:val="00AE15EC"/>
    <w:rsid w:val="00AE233A"/>
    <w:rsid w:val="00AE2B3B"/>
    <w:rsid w:val="00AE2E32"/>
    <w:rsid w:val="00AE37D5"/>
    <w:rsid w:val="00AE42A3"/>
    <w:rsid w:val="00AE4693"/>
    <w:rsid w:val="00AE4A4E"/>
    <w:rsid w:val="00AE4DC4"/>
    <w:rsid w:val="00AE4EBF"/>
    <w:rsid w:val="00AE4F76"/>
    <w:rsid w:val="00AE58FE"/>
    <w:rsid w:val="00AE5CC8"/>
    <w:rsid w:val="00AE72E8"/>
    <w:rsid w:val="00AE7370"/>
    <w:rsid w:val="00AE748F"/>
    <w:rsid w:val="00AE7F7D"/>
    <w:rsid w:val="00AF00D2"/>
    <w:rsid w:val="00AF05BA"/>
    <w:rsid w:val="00AF0CF6"/>
    <w:rsid w:val="00AF0EBE"/>
    <w:rsid w:val="00AF1215"/>
    <w:rsid w:val="00AF2157"/>
    <w:rsid w:val="00AF2E48"/>
    <w:rsid w:val="00AF2ECF"/>
    <w:rsid w:val="00AF35D6"/>
    <w:rsid w:val="00AF382B"/>
    <w:rsid w:val="00AF3D2A"/>
    <w:rsid w:val="00AF43F6"/>
    <w:rsid w:val="00AF46B7"/>
    <w:rsid w:val="00AF483E"/>
    <w:rsid w:val="00AF533C"/>
    <w:rsid w:val="00AF5DA5"/>
    <w:rsid w:val="00AF5F8A"/>
    <w:rsid w:val="00AF6165"/>
    <w:rsid w:val="00AF635A"/>
    <w:rsid w:val="00AF69AE"/>
    <w:rsid w:val="00AF6EBA"/>
    <w:rsid w:val="00AF6FE7"/>
    <w:rsid w:val="00AF72B8"/>
    <w:rsid w:val="00AF7435"/>
    <w:rsid w:val="00AF780E"/>
    <w:rsid w:val="00AF7AEC"/>
    <w:rsid w:val="00B000DB"/>
    <w:rsid w:val="00B001B3"/>
    <w:rsid w:val="00B00904"/>
    <w:rsid w:val="00B00968"/>
    <w:rsid w:val="00B0157C"/>
    <w:rsid w:val="00B01EE9"/>
    <w:rsid w:val="00B02C0A"/>
    <w:rsid w:val="00B02D4C"/>
    <w:rsid w:val="00B0361E"/>
    <w:rsid w:val="00B03B36"/>
    <w:rsid w:val="00B03BD1"/>
    <w:rsid w:val="00B04055"/>
    <w:rsid w:val="00B0405D"/>
    <w:rsid w:val="00B04DA9"/>
    <w:rsid w:val="00B0591C"/>
    <w:rsid w:val="00B05994"/>
    <w:rsid w:val="00B05D16"/>
    <w:rsid w:val="00B05DE9"/>
    <w:rsid w:val="00B06585"/>
    <w:rsid w:val="00B06B56"/>
    <w:rsid w:val="00B06B68"/>
    <w:rsid w:val="00B06CBF"/>
    <w:rsid w:val="00B06F02"/>
    <w:rsid w:val="00B07220"/>
    <w:rsid w:val="00B074BA"/>
    <w:rsid w:val="00B07584"/>
    <w:rsid w:val="00B07858"/>
    <w:rsid w:val="00B07933"/>
    <w:rsid w:val="00B10136"/>
    <w:rsid w:val="00B1020E"/>
    <w:rsid w:val="00B104BC"/>
    <w:rsid w:val="00B11693"/>
    <w:rsid w:val="00B13182"/>
    <w:rsid w:val="00B13218"/>
    <w:rsid w:val="00B1337B"/>
    <w:rsid w:val="00B1380B"/>
    <w:rsid w:val="00B13EFC"/>
    <w:rsid w:val="00B144D1"/>
    <w:rsid w:val="00B14788"/>
    <w:rsid w:val="00B14A32"/>
    <w:rsid w:val="00B14E57"/>
    <w:rsid w:val="00B14E9C"/>
    <w:rsid w:val="00B1563A"/>
    <w:rsid w:val="00B1572C"/>
    <w:rsid w:val="00B15C26"/>
    <w:rsid w:val="00B15F38"/>
    <w:rsid w:val="00B16121"/>
    <w:rsid w:val="00B16B3B"/>
    <w:rsid w:val="00B1704A"/>
    <w:rsid w:val="00B17580"/>
    <w:rsid w:val="00B20119"/>
    <w:rsid w:val="00B205E5"/>
    <w:rsid w:val="00B20B3F"/>
    <w:rsid w:val="00B218FC"/>
    <w:rsid w:val="00B219D6"/>
    <w:rsid w:val="00B21A64"/>
    <w:rsid w:val="00B21C2D"/>
    <w:rsid w:val="00B21CDA"/>
    <w:rsid w:val="00B227F6"/>
    <w:rsid w:val="00B2295B"/>
    <w:rsid w:val="00B22A9E"/>
    <w:rsid w:val="00B22FB6"/>
    <w:rsid w:val="00B23235"/>
    <w:rsid w:val="00B235DA"/>
    <w:rsid w:val="00B237E6"/>
    <w:rsid w:val="00B23F34"/>
    <w:rsid w:val="00B258D9"/>
    <w:rsid w:val="00B2599C"/>
    <w:rsid w:val="00B25DA6"/>
    <w:rsid w:val="00B2610F"/>
    <w:rsid w:val="00B2614B"/>
    <w:rsid w:val="00B26881"/>
    <w:rsid w:val="00B26A45"/>
    <w:rsid w:val="00B274E3"/>
    <w:rsid w:val="00B27905"/>
    <w:rsid w:val="00B301FA"/>
    <w:rsid w:val="00B30238"/>
    <w:rsid w:val="00B303AE"/>
    <w:rsid w:val="00B307A3"/>
    <w:rsid w:val="00B30CA0"/>
    <w:rsid w:val="00B30D36"/>
    <w:rsid w:val="00B313E8"/>
    <w:rsid w:val="00B3198E"/>
    <w:rsid w:val="00B31D9D"/>
    <w:rsid w:val="00B32191"/>
    <w:rsid w:val="00B3253A"/>
    <w:rsid w:val="00B32649"/>
    <w:rsid w:val="00B32836"/>
    <w:rsid w:val="00B32DF4"/>
    <w:rsid w:val="00B33E4E"/>
    <w:rsid w:val="00B33E76"/>
    <w:rsid w:val="00B340DE"/>
    <w:rsid w:val="00B34B07"/>
    <w:rsid w:val="00B34EB4"/>
    <w:rsid w:val="00B355A5"/>
    <w:rsid w:val="00B356F2"/>
    <w:rsid w:val="00B35B59"/>
    <w:rsid w:val="00B36474"/>
    <w:rsid w:val="00B36A62"/>
    <w:rsid w:val="00B36FDA"/>
    <w:rsid w:val="00B373F8"/>
    <w:rsid w:val="00B37BD8"/>
    <w:rsid w:val="00B4175E"/>
    <w:rsid w:val="00B42275"/>
    <w:rsid w:val="00B42F20"/>
    <w:rsid w:val="00B432BB"/>
    <w:rsid w:val="00B44036"/>
    <w:rsid w:val="00B44B99"/>
    <w:rsid w:val="00B45501"/>
    <w:rsid w:val="00B4685C"/>
    <w:rsid w:val="00B46985"/>
    <w:rsid w:val="00B46B08"/>
    <w:rsid w:val="00B47327"/>
    <w:rsid w:val="00B47616"/>
    <w:rsid w:val="00B47BD0"/>
    <w:rsid w:val="00B47DCC"/>
    <w:rsid w:val="00B50C2B"/>
    <w:rsid w:val="00B50E8F"/>
    <w:rsid w:val="00B51B0D"/>
    <w:rsid w:val="00B51B6D"/>
    <w:rsid w:val="00B520B4"/>
    <w:rsid w:val="00B52CCE"/>
    <w:rsid w:val="00B53159"/>
    <w:rsid w:val="00B531A7"/>
    <w:rsid w:val="00B544CF"/>
    <w:rsid w:val="00B54519"/>
    <w:rsid w:val="00B54A52"/>
    <w:rsid w:val="00B552B1"/>
    <w:rsid w:val="00B55E1A"/>
    <w:rsid w:val="00B560D0"/>
    <w:rsid w:val="00B56203"/>
    <w:rsid w:val="00B5625C"/>
    <w:rsid w:val="00B57009"/>
    <w:rsid w:val="00B572E0"/>
    <w:rsid w:val="00B572FA"/>
    <w:rsid w:val="00B57487"/>
    <w:rsid w:val="00B57726"/>
    <w:rsid w:val="00B606D2"/>
    <w:rsid w:val="00B60E9B"/>
    <w:rsid w:val="00B614BC"/>
    <w:rsid w:val="00B61AA9"/>
    <w:rsid w:val="00B62AA3"/>
    <w:rsid w:val="00B62D6A"/>
    <w:rsid w:val="00B62EEC"/>
    <w:rsid w:val="00B6348A"/>
    <w:rsid w:val="00B6379B"/>
    <w:rsid w:val="00B63CCE"/>
    <w:rsid w:val="00B63DB9"/>
    <w:rsid w:val="00B63DE9"/>
    <w:rsid w:val="00B644AE"/>
    <w:rsid w:val="00B64585"/>
    <w:rsid w:val="00B654B1"/>
    <w:rsid w:val="00B6605E"/>
    <w:rsid w:val="00B6633A"/>
    <w:rsid w:val="00B66443"/>
    <w:rsid w:val="00B6661C"/>
    <w:rsid w:val="00B66C1F"/>
    <w:rsid w:val="00B675F9"/>
    <w:rsid w:val="00B67AC2"/>
    <w:rsid w:val="00B67B20"/>
    <w:rsid w:val="00B67EF5"/>
    <w:rsid w:val="00B67FCC"/>
    <w:rsid w:val="00B7045A"/>
    <w:rsid w:val="00B7080E"/>
    <w:rsid w:val="00B71DE0"/>
    <w:rsid w:val="00B72580"/>
    <w:rsid w:val="00B732DD"/>
    <w:rsid w:val="00B73A67"/>
    <w:rsid w:val="00B73DF9"/>
    <w:rsid w:val="00B73ECC"/>
    <w:rsid w:val="00B74463"/>
    <w:rsid w:val="00B748A5"/>
    <w:rsid w:val="00B74E06"/>
    <w:rsid w:val="00B74F0A"/>
    <w:rsid w:val="00B752DE"/>
    <w:rsid w:val="00B7567F"/>
    <w:rsid w:val="00B75FF9"/>
    <w:rsid w:val="00B761E6"/>
    <w:rsid w:val="00B7698C"/>
    <w:rsid w:val="00B776CB"/>
    <w:rsid w:val="00B77C42"/>
    <w:rsid w:val="00B803E7"/>
    <w:rsid w:val="00B80466"/>
    <w:rsid w:val="00B80DB3"/>
    <w:rsid w:val="00B81396"/>
    <w:rsid w:val="00B8233F"/>
    <w:rsid w:val="00B831B3"/>
    <w:rsid w:val="00B833A4"/>
    <w:rsid w:val="00B843A2"/>
    <w:rsid w:val="00B84B59"/>
    <w:rsid w:val="00B84C81"/>
    <w:rsid w:val="00B84C9F"/>
    <w:rsid w:val="00B84F42"/>
    <w:rsid w:val="00B855F9"/>
    <w:rsid w:val="00B85868"/>
    <w:rsid w:val="00B859E3"/>
    <w:rsid w:val="00B8609A"/>
    <w:rsid w:val="00B86239"/>
    <w:rsid w:val="00B86274"/>
    <w:rsid w:val="00B869E8"/>
    <w:rsid w:val="00B86E22"/>
    <w:rsid w:val="00B86EE8"/>
    <w:rsid w:val="00B8720E"/>
    <w:rsid w:val="00B8780C"/>
    <w:rsid w:val="00B9033A"/>
    <w:rsid w:val="00B904C3"/>
    <w:rsid w:val="00B906FA"/>
    <w:rsid w:val="00B9129A"/>
    <w:rsid w:val="00B915A1"/>
    <w:rsid w:val="00B91B38"/>
    <w:rsid w:val="00B92229"/>
    <w:rsid w:val="00B923B1"/>
    <w:rsid w:val="00B9310F"/>
    <w:rsid w:val="00B933EB"/>
    <w:rsid w:val="00B938C3"/>
    <w:rsid w:val="00B9446B"/>
    <w:rsid w:val="00B945BF"/>
    <w:rsid w:val="00B9518C"/>
    <w:rsid w:val="00B9562B"/>
    <w:rsid w:val="00B95983"/>
    <w:rsid w:val="00B95BC5"/>
    <w:rsid w:val="00B96B1F"/>
    <w:rsid w:val="00B96F68"/>
    <w:rsid w:val="00B97557"/>
    <w:rsid w:val="00BA0477"/>
    <w:rsid w:val="00BA0EA2"/>
    <w:rsid w:val="00BA1223"/>
    <w:rsid w:val="00BA12E8"/>
    <w:rsid w:val="00BA1935"/>
    <w:rsid w:val="00BA1C39"/>
    <w:rsid w:val="00BA1D78"/>
    <w:rsid w:val="00BA2701"/>
    <w:rsid w:val="00BA2AF4"/>
    <w:rsid w:val="00BA2B3D"/>
    <w:rsid w:val="00BA2F90"/>
    <w:rsid w:val="00BA3105"/>
    <w:rsid w:val="00BA358A"/>
    <w:rsid w:val="00BA3C7D"/>
    <w:rsid w:val="00BA4AD1"/>
    <w:rsid w:val="00BA4F76"/>
    <w:rsid w:val="00BA5586"/>
    <w:rsid w:val="00BA614E"/>
    <w:rsid w:val="00BA626E"/>
    <w:rsid w:val="00BA6A47"/>
    <w:rsid w:val="00BA6BFA"/>
    <w:rsid w:val="00BA7BF6"/>
    <w:rsid w:val="00BB004D"/>
    <w:rsid w:val="00BB021A"/>
    <w:rsid w:val="00BB0359"/>
    <w:rsid w:val="00BB0754"/>
    <w:rsid w:val="00BB08FA"/>
    <w:rsid w:val="00BB0A2A"/>
    <w:rsid w:val="00BB149B"/>
    <w:rsid w:val="00BB1B5A"/>
    <w:rsid w:val="00BB3183"/>
    <w:rsid w:val="00BB350A"/>
    <w:rsid w:val="00BB3B29"/>
    <w:rsid w:val="00BB3E6F"/>
    <w:rsid w:val="00BB40BD"/>
    <w:rsid w:val="00BB4214"/>
    <w:rsid w:val="00BB4711"/>
    <w:rsid w:val="00BB4E98"/>
    <w:rsid w:val="00BB53E5"/>
    <w:rsid w:val="00BB5FCB"/>
    <w:rsid w:val="00BB6146"/>
    <w:rsid w:val="00BB6587"/>
    <w:rsid w:val="00BB67C5"/>
    <w:rsid w:val="00BB6AE1"/>
    <w:rsid w:val="00BB711E"/>
    <w:rsid w:val="00BB7421"/>
    <w:rsid w:val="00BB798A"/>
    <w:rsid w:val="00BB79F9"/>
    <w:rsid w:val="00BC03E8"/>
    <w:rsid w:val="00BC0486"/>
    <w:rsid w:val="00BC04BD"/>
    <w:rsid w:val="00BC1732"/>
    <w:rsid w:val="00BC185F"/>
    <w:rsid w:val="00BC262E"/>
    <w:rsid w:val="00BC271F"/>
    <w:rsid w:val="00BC2757"/>
    <w:rsid w:val="00BC321B"/>
    <w:rsid w:val="00BC3AEC"/>
    <w:rsid w:val="00BC3F81"/>
    <w:rsid w:val="00BC4075"/>
    <w:rsid w:val="00BC4B53"/>
    <w:rsid w:val="00BC4E48"/>
    <w:rsid w:val="00BC5DBE"/>
    <w:rsid w:val="00BC6231"/>
    <w:rsid w:val="00BC6D05"/>
    <w:rsid w:val="00BC7242"/>
    <w:rsid w:val="00BC731C"/>
    <w:rsid w:val="00BC764A"/>
    <w:rsid w:val="00BC76ED"/>
    <w:rsid w:val="00BC7F66"/>
    <w:rsid w:val="00BD0359"/>
    <w:rsid w:val="00BD0C9A"/>
    <w:rsid w:val="00BD1750"/>
    <w:rsid w:val="00BD17C1"/>
    <w:rsid w:val="00BD18E1"/>
    <w:rsid w:val="00BD1DAD"/>
    <w:rsid w:val="00BD2829"/>
    <w:rsid w:val="00BD284A"/>
    <w:rsid w:val="00BD3231"/>
    <w:rsid w:val="00BD3697"/>
    <w:rsid w:val="00BD3B7D"/>
    <w:rsid w:val="00BD409E"/>
    <w:rsid w:val="00BD42EE"/>
    <w:rsid w:val="00BD445D"/>
    <w:rsid w:val="00BD48DC"/>
    <w:rsid w:val="00BD4DB1"/>
    <w:rsid w:val="00BD57B9"/>
    <w:rsid w:val="00BD611A"/>
    <w:rsid w:val="00BD72AE"/>
    <w:rsid w:val="00BE0FD5"/>
    <w:rsid w:val="00BE149A"/>
    <w:rsid w:val="00BE1616"/>
    <w:rsid w:val="00BE209E"/>
    <w:rsid w:val="00BE22EE"/>
    <w:rsid w:val="00BE2558"/>
    <w:rsid w:val="00BE2C8A"/>
    <w:rsid w:val="00BE2E19"/>
    <w:rsid w:val="00BE30AC"/>
    <w:rsid w:val="00BE316B"/>
    <w:rsid w:val="00BE3403"/>
    <w:rsid w:val="00BE3724"/>
    <w:rsid w:val="00BE3CC4"/>
    <w:rsid w:val="00BE3EAB"/>
    <w:rsid w:val="00BE4222"/>
    <w:rsid w:val="00BE424E"/>
    <w:rsid w:val="00BE4E8C"/>
    <w:rsid w:val="00BE50CF"/>
    <w:rsid w:val="00BE53A1"/>
    <w:rsid w:val="00BE5FC7"/>
    <w:rsid w:val="00BE62A4"/>
    <w:rsid w:val="00BE6DCC"/>
    <w:rsid w:val="00BE6E2E"/>
    <w:rsid w:val="00BE6FF9"/>
    <w:rsid w:val="00BE785F"/>
    <w:rsid w:val="00BF049B"/>
    <w:rsid w:val="00BF0C9F"/>
    <w:rsid w:val="00BF0E24"/>
    <w:rsid w:val="00BF0F53"/>
    <w:rsid w:val="00BF15ED"/>
    <w:rsid w:val="00BF186C"/>
    <w:rsid w:val="00BF1C80"/>
    <w:rsid w:val="00BF2353"/>
    <w:rsid w:val="00BF27A9"/>
    <w:rsid w:val="00BF2815"/>
    <w:rsid w:val="00BF3E48"/>
    <w:rsid w:val="00BF3EAA"/>
    <w:rsid w:val="00BF456B"/>
    <w:rsid w:val="00BF4A21"/>
    <w:rsid w:val="00BF4FC2"/>
    <w:rsid w:val="00BF6693"/>
    <w:rsid w:val="00BF71F5"/>
    <w:rsid w:val="00BF7C05"/>
    <w:rsid w:val="00BF7DF1"/>
    <w:rsid w:val="00C0033B"/>
    <w:rsid w:val="00C00A81"/>
    <w:rsid w:val="00C00E6C"/>
    <w:rsid w:val="00C00E73"/>
    <w:rsid w:val="00C00F26"/>
    <w:rsid w:val="00C01507"/>
    <w:rsid w:val="00C019A8"/>
    <w:rsid w:val="00C01F04"/>
    <w:rsid w:val="00C0234D"/>
    <w:rsid w:val="00C0240E"/>
    <w:rsid w:val="00C02D36"/>
    <w:rsid w:val="00C02F9C"/>
    <w:rsid w:val="00C040A6"/>
    <w:rsid w:val="00C04146"/>
    <w:rsid w:val="00C045B0"/>
    <w:rsid w:val="00C04747"/>
    <w:rsid w:val="00C05367"/>
    <w:rsid w:val="00C05707"/>
    <w:rsid w:val="00C05ACB"/>
    <w:rsid w:val="00C05EE9"/>
    <w:rsid w:val="00C06481"/>
    <w:rsid w:val="00C06D05"/>
    <w:rsid w:val="00C06E3A"/>
    <w:rsid w:val="00C06E8F"/>
    <w:rsid w:val="00C06F19"/>
    <w:rsid w:val="00C06F5F"/>
    <w:rsid w:val="00C070C7"/>
    <w:rsid w:val="00C0723F"/>
    <w:rsid w:val="00C076F2"/>
    <w:rsid w:val="00C1049C"/>
    <w:rsid w:val="00C10872"/>
    <w:rsid w:val="00C10C68"/>
    <w:rsid w:val="00C115BE"/>
    <w:rsid w:val="00C11848"/>
    <w:rsid w:val="00C12596"/>
    <w:rsid w:val="00C126DA"/>
    <w:rsid w:val="00C12A85"/>
    <w:rsid w:val="00C134DF"/>
    <w:rsid w:val="00C1379F"/>
    <w:rsid w:val="00C13C5D"/>
    <w:rsid w:val="00C13D7D"/>
    <w:rsid w:val="00C13EB0"/>
    <w:rsid w:val="00C13F72"/>
    <w:rsid w:val="00C144A7"/>
    <w:rsid w:val="00C14698"/>
    <w:rsid w:val="00C148C1"/>
    <w:rsid w:val="00C149E9"/>
    <w:rsid w:val="00C14DFF"/>
    <w:rsid w:val="00C150F7"/>
    <w:rsid w:val="00C15630"/>
    <w:rsid w:val="00C15AEF"/>
    <w:rsid w:val="00C161B3"/>
    <w:rsid w:val="00C161E9"/>
    <w:rsid w:val="00C165BB"/>
    <w:rsid w:val="00C16A16"/>
    <w:rsid w:val="00C16E68"/>
    <w:rsid w:val="00C1720B"/>
    <w:rsid w:val="00C17217"/>
    <w:rsid w:val="00C17298"/>
    <w:rsid w:val="00C175B2"/>
    <w:rsid w:val="00C176C0"/>
    <w:rsid w:val="00C17738"/>
    <w:rsid w:val="00C17A15"/>
    <w:rsid w:val="00C20108"/>
    <w:rsid w:val="00C20A14"/>
    <w:rsid w:val="00C2144C"/>
    <w:rsid w:val="00C2184A"/>
    <w:rsid w:val="00C21B3E"/>
    <w:rsid w:val="00C21E1D"/>
    <w:rsid w:val="00C21FA5"/>
    <w:rsid w:val="00C2319D"/>
    <w:rsid w:val="00C232AA"/>
    <w:rsid w:val="00C2339C"/>
    <w:rsid w:val="00C23B98"/>
    <w:rsid w:val="00C23BF2"/>
    <w:rsid w:val="00C24124"/>
    <w:rsid w:val="00C262C2"/>
    <w:rsid w:val="00C26C3A"/>
    <w:rsid w:val="00C278F1"/>
    <w:rsid w:val="00C30FDA"/>
    <w:rsid w:val="00C30FE4"/>
    <w:rsid w:val="00C311A3"/>
    <w:rsid w:val="00C312DB"/>
    <w:rsid w:val="00C313BD"/>
    <w:rsid w:val="00C31E05"/>
    <w:rsid w:val="00C320C1"/>
    <w:rsid w:val="00C3226A"/>
    <w:rsid w:val="00C32864"/>
    <w:rsid w:val="00C32883"/>
    <w:rsid w:val="00C32DB5"/>
    <w:rsid w:val="00C32FCC"/>
    <w:rsid w:val="00C33D7E"/>
    <w:rsid w:val="00C3408D"/>
    <w:rsid w:val="00C341F0"/>
    <w:rsid w:val="00C3493E"/>
    <w:rsid w:val="00C34AFE"/>
    <w:rsid w:val="00C34B42"/>
    <w:rsid w:val="00C34C1E"/>
    <w:rsid w:val="00C3530E"/>
    <w:rsid w:val="00C353C7"/>
    <w:rsid w:val="00C35607"/>
    <w:rsid w:val="00C358C4"/>
    <w:rsid w:val="00C358E1"/>
    <w:rsid w:val="00C35938"/>
    <w:rsid w:val="00C366CB"/>
    <w:rsid w:val="00C36727"/>
    <w:rsid w:val="00C36A46"/>
    <w:rsid w:val="00C36B63"/>
    <w:rsid w:val="00C36D7C"/>
    <w:rsid w:val="00C3754F"/>
    <w:rsid w:val="00C375B6"/>
    <w:rsid w:val="00C37A67"/>
    <w:rsid w:val="00C37C1D"/>
    <w:rsid w:val="00C37CC9"/>
    <w:rsid w:val="00C40499"/>
    <w:rsid w:val="00C422E2"/>
    <w:rsid w:val="00C42E40"/>
    <w:rsid w:val="00C4326A"/>
    <w:rsid w:val="00C435AA"/>
    <w:rsid w:val="00C43C5D"/>
    <w:rsid w:val="00C4425C"/>
    <w:rsid w:val="00C44395"/>
    <w:rsid w:val="00C4456F"/>
    <w:rsid w:val="00C44B9C"/>
    <w:rsid w:val="00C44C8B"/>
    <w:rsid w:val="00C44E68"/>
    <w:rsid w:val="00C450E9"/>
    <w:rsid w:val="00C45C67"/>
    <w:rsid w:val="00C45C6A"/>
    <w:rsid w:val="00C45E13"/>
    <w:rsid w:val="00C469E0"/>
    <w:rsid w:val="00C46C25"/>
    <w:rsid w:val="00C47F71"/>
    <w:rsid w:val="00C50EDA"/>
    <w:rsid w:val="00C518C3"/>
    <w:rsid w:val="00C51A21"/>
    <w:rsid w:val="00C5226C"/>
    <w:rsid w:val="00C527D5"/>
    <w:rsid w:val="00C52930"/>
    <w:rsid w:val="00C52960"/>
    <w:rsid w:val="00C52EA3"/>
    <w:rsid w:val="00C534A2"/>
    <w:rsid w:val="00C53914"/>
    <w:rsid w:val="00C53A15"/>
    <w:rsid w:val="00C5415C"/>
    <w:rsid w:val="00C54526"/>
    <w:rsid w:val="00C545A4"/>
    <w:rsid w:val="00C547F8"/>
    <w:rsid w:val="00C55CCD"/>
    <w:rsid w:val="00C5617F"/>
    <w:rsid w:val="00C565D5"/>
    <w:rsid w:val="00C56A7C"/>
    <w:rsid w:val="00C57B87"/>
    <w:rsid w:val="00C603D5"/>
    <w:rsid w:val="00C609EC"/>
    <w:rsid w:val="00C60A4C"/>
    <w:rsid w:val="00C60EA2"/>
    <w:rsid w:val="00C616DA"/>
    <w:rsid w:val="00C61DE1"/>
    <w:rsid w:val="00C62906"/>
    <w:rsid w:val="00C63342"/>
    <w:rsid w:val="00C63410"/>
    <w:rsid w:val="00C63957"/>
    <w:rsid w:val="00C63AAF"/>
    <w:rsid w:val="00C643B6"/>
    <w:rsid w:val="00C64467"/>
    <w:rsid w:val="00C65B94"/>
    <w:rsid w:val="00C65ED2"/>
    <w:rsid w:val="00C65FD8"/>
    <w:rsid w:val="00C661B7"/>
    <w:rsid w:val="00C673D9"/>
    <w:rsid w:val="00C67566"/>
    <w:rsid w:val="00C67CC9"/>
    <w:rsid w:val="00C702F9"/>
    <w:rsid w:val="00C703DE"/>
    <w:rsid w:val="00C705E5"/>
    <w:rsid w:val="00C707FD"/>
    <w:rsid w:val="00C70953"/>
    <w:rsid w:val="00C71CAE"/>
    <w:rsid w:val="00C7267A"/>
    <w:rsid w:val="00C72701"/>
    <w:rsid w:val="00C72728"/>
    <w:rsid w:val="00C7275D"/>
    <w:rsid w:val="00C72EB0"/>
    <w:rsid w:val="00C73281"/>
    <w:rsid w:val="00C7375A"/>
    <w:rsid w:val="00C73F06"/>
    <w:rsid w:val="00C73FB2"/>
    <w:rsid w:val="00C7496D"/>
    <w:rsid w:val="00C74A37"/>
    <w:rsid w:val="00C75556"/>
    <w:rsid w:val="00C7588A"/>
    <w:rsid w:val="00C75F9B"/>
    <w:rsid w:val="00C760EF"/>
    <w:rsid w:val="00C764FF"/>
    <w:rsid w:val="00C76622"/>
    <w:rsid w:val="00C76BBF"/>
    <w:rsid w:val="00C76DA0"/>
    <w:rsid w:val="00C77450"/>
    <w:rsid w:val="00C7784C"/>
    <w:rsid w:val="00C77FC0"/>
    <w:rsid w:val="00C80446"/>
    <w:rsid w:val="00C80707"/>
    <w:rsid w:val="00C80A45"/>
    <w:rsid w:val="00C80D01"/>
    <w:rsid w:val="00C81169"/>
    <w:rsid w:val="00C81CD6"/>
    <w:rsid w:val="00C81F2B"/>
    <w:rsid w:val="00C822A5"/>
    <w:rsid w:val="00C829E2"/>
    <w:rsid w:val="00C83F32"/>
    <w:rsid w:val="00C840FD"/>
    <w:rsid w:val="00C8411F"/>
    <w:rsid w:val="00C84888"/>
    <w:rsid w:val="00C84C40"/>
    <w:rsid w:val="00C84EB1"/>
    <w:rsid w:val="00C85304"/>
    <w:rsid w:val="00C85B40"/>
    <w:rsid w:val="00C8626C"/>
    <w:rsid w:val="00C86494"/>
    <w:rsid w:val="00C87223"/>
    <w:rsid w:val="00C87943"/>
    <w:rsid w:val="00C87BC9"/>
    <w:rsid w:val="00C9011B"/>
    <w:rsid w:val="00C9065E"/>
    <w:rsid w:val="00C90AF0"/>
    <w:rsid w:val="00C90B8A"/>
    <w:rsid w:val="00C911ED"/>
    <w:rsid w:val="00C91203"/>
    <w:rsid w:val="00C92418"/>
    <w:rsid w:val="00C92626"/>
    <w:rsid w:val="00C9263A"/>
    <w:rsid w:val="00C930FF"/>
    <w:rsid w:val="00C937FE"/>
    <w:rsid w:val="00C93DD1"/>
    <w:rsid w:val="00C93DDF"/>
    <w:rsid w:val="00C94D4A"/>
    <w:rsid w:val="00C94D92"/>
    <w:rsid w:val="00C94DE4"/>
    <w:rsid w:val="00C96EC3"/>
    <w:rsid w:val="00C9713F"/>
    <w:rsid w:val="00C971F4"/>
    <w:rsid w:val="00CA0053"/>
    <w:rsid w:val="00CA0969"/>
    <w:rsid w:val="00CA13CE"/>
    <w:rsid w:val="00CA14E3"/>
    <w:rsid w:val="00CA1D18"/>
    <w:rsid w:val="00CA300A"/>
    <w:rsid w:val="00CA3160"/>
    <w:rsid w:val="00CA3285"/>
    <w:rsid w:val="00CA36C1"/>
    <w:rsid w:val="00CA3A53"/>
    <w:rsid w:val="00CA3ECA"/>
    <w:rsid w:val="00CA48CB"/>
    <w:rsid w:val="00CA524B"/>
    <w:rsid w:val="00CA53D5"/>
    <w:rsid w:val="00CA5489"/>
    <w:rsid w:val="00CA622B"/>
    <w:rsid w:val="00CA636A"/>
    <w:rsid w:val="00CA6557"/>
    <w:rsid w:val="00CA6A8A"/>
    <w:rsid w:val="00CA7613"/>
    <w:rsid w:val="00CA7895"/>
    <w:rsid w:val="00CA7CE2"/>
    <w:rsid w:val="00CA7D67"/>
    <w:rsid w:val="00CB0CD0"/>
    <w:rsid w:val="00CB154E"/>
    <w:rsid w:val="00CB174F"/>
    <w:rsid w:val="00CB17B1"/>
    <w:rsid w:val="00CB2AD9"/>
    <w:rsid w:val="00CB30D0"/>
    <w:rsid w:val="00CB38F0"/>
    <w:rsid w:val="00CB419B"/>
    <w:rsid w:val="00CB4206"/>
    <w:rsid w:val="00CB5850"/>
    <w:rsid w:val="00CB663F"/>
    <w:rsid w:val="00CB6B28"/>
    <w:rsid w:val="00CB6C89"/>
    <w:rsid w:val="00CB7EDC"/>
    <w:rsid w:val="00CC02EF"/>
    <w:rsid w:val="00CC0716"/>
    <w:rsid w:val="00CC0C73"/>
    <w:rsid w:val="00CC16D7"/>
    <w:rsid w:val="00CC17D8"/>
    <w:rsid w:val="00CC1ABA"/>
    <w:rsid w:val="00CC2170"/>
    <w:rsid w:val="00CC22FD"/>
    <w:rsid w:val="00CC24FB"/>
    <w:rsid w:val="00CC2A63"/>
    <w:rsid w:val="00CC2C73"/>
    <w:rsid w:val="00CC31FE"/>
    <w:rsid w:val="00CC3C61"/>
    <w:rsid w:val="00CC3D0A"/>
    <w:rsid w:val="00CC3EA4"/>
    <w:rsid w:val="00CC4000"/>
    <w:rsid w:val="00CC453E"/>
    <w:rsid w:val="00CC4804"/>
    <w:rsid w:val="00CC52BF"/>
    <w:rsid w:val="00CC6113"/>
    <w:rsid w:val="00CC6243"/>
    <w:rsid w:val="00CC6861"/>
    <w:rsid w:val="00CC6FDB"/>
    <w:rsid w:val="00CC78CC"/>
    <w:rsid w:val="00CD01C5"/>
    <w:rsid w:val="00CD123D"/>
    <w:rsid w:val="00CD1F62"/>
    <w:rsid w:val="00CD34A0"/>
    <w:rsid w:val="00CD365B"/>
    <w:rsid w:val="00CD3F17"/>
    <w:rsid w:val="00CD41DE"/>
    <w:rsid w:val="00CD4A3E"/>
    <w:rsid w:val="00CD54EB"/>
    <w:rsid w:val="00CD5556"/>
    <w:rsid w:val="00CD55B5"/>
    <w:rsid w:val="00CD5FEF"/>
    <w:rsid w:val="00CD6AB2"/>
    <w:rsid w:val="00CD6BBB"/>
    <w:rsid w:val="00CD6EF7"/>
    <w:rsid w:val="00CE06D8"/>
    <w:rsid w:val="00CE0712"/>
    <w:rsid w:val="00CE0FAA"/>
    <w:rsid w:val="00CE106B"/>
    <w:rsid w:val="00CE1393"/>
    <w:rsid w:val="00CE1913"/>
    <w:rsid w:val="00CE1B71"/>
    <w:rsid w:val="00CE1BF0"/>
    <w:rsid w:val="00CE1F19"/>
    <w:rsid w:val="00CE209B"/>
    <w:rsid w:val="00CE21E5"/>
    <w:rsid w:val="00CE27AD"/>
    <w:rsid w:val="00CE3164"/>
    <w:rsid w:val="00CE3731"/>
    <w:rsid w:val="00CE374A"/>
    <w:rsid w:val="00CE3DBA"/>
    <w:rsid w:val="00CE420C"/>
    <w:rsid w:val="00CE44EE"/>
    <w:rsid w:val="00CE5AC8"/>
    <w:rsid w:val="00CE5D30"/>
    <w:rsid w:val="00CE701F"/>
    <w:rsid w:val="00CE7159"/>
    <w:rsid w:val="00CE7897"/>
    <w:rsid w:val="00CE7DD8"/>
    <w:rsid w:val="00CF0973"/>
    <w:rsid w:val="00CF0EED"/>
    <w:rsid w:val="00CF17AA"/>
    <w:rsid w:val="00CF1D00"/>
    <w:rsid w:val="00CF319D"/>
    <w:rsid w:val="00CF36D4"/>
    <w:rsid w:val="00CF3F21"/>
    <w:rsid w:val="00CF473F"/>
    <w:rsid w:val="00CF4E05"/>
    <w:rsid w:val="00CF5351"/>
    <w:rsid w:val="00CF53FF"/>
    <w:rsid w:val="00CF55FD"/>
    <w:rsid w:val="00CF5855"/>
    <w:rsid w:val="00CF622D"/>
    <w:rsid w:val="00CF6AC3"/>
    <w:rsid w:val="00CF744A"/>
    <w:rsid w:val="00CF76B5"/>
    <w:rsid w:val="00CF793C"/>
    <w:rsid w:val="00D00D49"/>
    <w:rsid w:val="00D012E4"/>
    <w:rsid w:val="00D02E04"/>
    <w:rsid w:val="00D0377B"/>
    <w:rsid w:val="00D04912"/>
    <w:rsid w:val="00D0495D"/>
    <w:rsid w:val="00D0499C"/>
    <w:rsid w:val="00D04AA6"/>
    <w:rsid w:val="00D04C4B"/>
    <w:rsid w:val="00D04E06"/>
    <w:rsid w:val="00D05009"/>
    <w:rsid w:val="00D050D3"/>
    <w:rsid w:val="00D0528C"/>
    <w:rsid w:val="00D05B85"/>
    <w:rsid w:val="00D05C6A"/>
    <w:rsid w:val="00D062FA"/>
    <w:rsid w:val="00D06E7F"/>
    <w:rsid w:val="00D06FF6"/>
    <w:rsid w:val="00D079A7"/>
    <w:rsid w:val="00D07A84"/>
    <w:rsid w:val="00D07DBE"/>
    <w:rsid w:val="00D10842"/>
    <w:rsid w:val="00D11127"/>
    <w:rsid w:val="00D12149"/>
    <w:rsid w:val="00D12343"/>
    <w:rsid w:val="00D12518"/>
    <w:rsid w:val="00D12A5F"/>
    <w:rsid w:val="00D13028"/>
    <w:rsid w:val="00D13717"/>
    <w:rsid w:val="00D13747"/>
    <w:rsid w:val="00D137FE"/>
    <w:rsid w:val="00D139C7"/>
    <w:rsid w:val="00D13E8D"/>
    <w:rsid w:val="00D13EF0"/>
    <w:rsid w:val="00D14363"/>
    <w:rsid w:val="00D1526E"/>
    <w:rsid w:val="00D15A49"/>
    <w:rsid w:val="00D15ACE"/>
    <w:rsid w:val="00D15BAD"/>
    <w:rsid w:val="00D15D02"/>
    <w:rsid w:val="00D15D82"/>
    <w:rsid w:val="00D15DED"/>
    <w:rsid w:val="00D15DFD"/>
    <w:rsid w:val="00D15FCF"/>
    <w:rsid w:val="00D161B2"/>
    <w:rsid w:val="00D161B4"/>
    <w:rsid w:val="00D167FE"/>
    <w:rsid w:val="00D16CBF"/>
    <w:rsid w:val="00D16EF2"/>
    <w:rsid w:val="00D16F0A"/>
    <w:rsid w:val="00D173A9"/>
    <w:rsid w:val="00D173DE"/>
    <w:rsid w:val="00D17C3F"/>
    <w:rsid w:val="00D17D0B"/>
    <w:rsid w:val="00D2035F"/>
    <w:rsid w:val="00D20F5B"/>
    <w:rsid w:val="00D21CA3"/>
    <w:rsid w:val="00D21F9E"/>
    <w:rsid w:val="00D22F7D"/>
    <w:rsid w:val="00D235B1"/>
    <w:rsid w:val="00D236F1"/>
    <w:rsid w:val="00D241B0"/>
    <w:rsid w:val="00D2480F"/>
    <w:rsid w:val="00D2586F"/>
    <w:rsid w:val="00D25B68"/>
    <w:rsid w:val="00D26206"/>
    <w:rsid w:val="00D26C1B"/>
    <w:rsid w:val="00D26E2C"/>
    <w:rsid w:val="00D274F6"/>
    <w:rsid w:val="00D2764E"/>
    <w:rsid w:val="00D279BC"/>
    <w:rsid w:val="00D279FF"/>
    <w:rsid w:val="00D27D48"/>
    <w:rsid w:val="00D27EEF"/>
    <w:rsid w:val="00D30495"/>
    <w:rsid w:val="00D30C40"/>
    <w:rsid w:val="00D31120"/>
    <w:rsid w:val="00D3113A"/>
    <w:rsid w:val="00D312EF"/>
    <w:rsid w:val="00D319A3"/>
    <w:rsid w:val="00D31E03"/>
    <w:rsid w:val="00D3206A"/>
    <w:rsid w:val="00D32D3E"/>
    <w:rsid w:val="00D32EA8"/>
    <w:rsid w:val="00D32F14"/>
    <w:rsid w:val="00D330DB"/>
    <w:rsid w:val="00D34676"/>
    <w:rsid w:val="00D34CFD"/>
    <w:rsid w:val="00D34FFF"/>
    <w:rsid w:val="00D3507F"/>
    <w:rsid w:val="00D3594C"/>
    <w:rsid w:val="00D364D1"/>
    <w:rsid w:val="00D366BB"/>
    <w:rsid w:val="00D367F6"/>
    <w:rsid w:val="00D37030"/>
    <w:rsid w:val="00D40118"/>
    <w:rsid w:val="00D40601"/>
    <w:rsid w:val="00D411FE"/>
    <w:rsid w:val="00D41678"/>
    <w:rsid w:val="00D4185C"/>
    <w:rsid w:val="00D41A9E"/>
    <w:rsid w:val="00D41B29"/>
    <w:rsid w:val="00D42AF6"/>
    <w:rsid w:val="00D42B05"/>
    <w:rsid w:val="00D43245"/>
    <w:rsid w:val="00D43A7A"/>
    <w:rsid w:val="00D440BB"/>
    <w:rsid w:val="00D44711"/>
    <w:rsid w:val="00D449AE"/>
    <w:rsid w:val="00D449F6"/>
    <w:rsid w:val="00D44D7D"/>
    <w:rsid w:val="00D4525D"/>
    <w:rsid w:val="00D453DA"/>
    <w:rsid w:val="00D4598C"/>
    <w:rsid w:val="00D4619F"/>
    <w:rsid w:val="00D468AE"/>
    <w:rsid w:val="00D4695E"/>
    <w:rsid w:val="00D47632"/>
    <w:rsid w:val="00D47DDA"/>
    <w:rsid w:val="00D47F43"/>
    <w:rsid w:val="00D503EC"/>
    <w:rsid w:val="00D5204A"/>
    <w:rsid w:val="00D52838"/>
    <w:rsid w:val="00D529D6"/>
    <w:rsid w:val="00D52B34"/>
    <w:rsid w:val="00D52F99"/>
    <w:rsid w:val="00D53482"/>
    <w:rsid w:val="00D53D1E"/>
    <w:rsid w:val="00D53E8E"/>
    <w:rsid w:val="00D55123"/>
    <w:rsid w:val="00D55134"/>
    <w:rsid w:val="00D55B08"/>
    <w:rsid w:val="00D55C22"/>
    <w:rsid w:val="00D55D16"/>
    <w:rsid w:val="00D561FA"/>
    <w:rsid w:val="00D56477"/>
    <w:rsid w:val="00D56BFE"/>
    <w:rsid w:val="00D56D69"/>
    <w:rsid w:val="00D5701A"/>
    <w:rsid w:val="00D570EB"/>
    <w:rsid w:val="00D57E44"/>
    <w:rsid w:val="00D6025D"/>
    <w:rsid w:val="00D603E3"/>
    <w:rsid w:val="00D60781"/>
    <w:rsid w:val="00D60A4F"/>
    <w:rsid w:val="00D60A90"/>
    <w:rsid w:val="00D61180"/>
    <w:rsid w:val="00D61786"/>
    <w:rsid w:val="00D61948"/>
    <w:rsid w:val="00D62711"/>
    <w:rsid w:val="00D6284F"/>
    <w:rsid w:val="00D63E79"/>
    <w:rsid w:val="00D6436E"/>
    <w:rsid w:val="00D644CE"/>
    <w:rsid w:val="00D650F6"/>
    <w:rsid w:val="00D65637"/>
    <w:rsid w:val="00D66238"/>
    <w:rsid w:val="00D66867"/>
    <w:rsid w:val="00D66A13"/>
    <w:rsid w:val="00D6718D"/>
    <w:rsid w:val="00D67F77"/>
    <w:rsid w:val="00D709B2"/>
    <w:rsid w:val="00D7114C"/>
    <w:rsid w:val="00D71AAD"/>
    <w:rsid w:val="00D71B4E"/>
    <w:rsid w:val="00D728D4"/>
    <w:rsid w:val="00D734D7"/>
    <w:rsid w:val="00D737B7"/>
    <w:rsid w:val="00D74070"/>
    <w:rsid w:val="00D74998"/>
    <w:rsid w:val="00D755B6"/>
    <w:rsid w:val="00D76352"/>
    <w:rsid w:val="00D76C85"/>
    <w:rsid w:val="00D76D42"/>
    <w:rsid w:val="00D77A02"/>
    <w:rsid w:val="00D77EDE"/>
    <w:rsid w:val="00D80326"/>
    <w:rsid w:val="00D8060C"/>
    <w:rsid w:val="00D81AE9"/>
    <w:rsid w:val="00D81FF9"/>
    <w:rsid w:val="00D8216D"/>
    <w:rsid w:val="00D82C91"/>
    <w:rsid w:val="00D83161"/>
    <w:rsid w:val="00D833BC"/>
    <w:rsid w:val="00D83AC8"/>
    <w:rsid w:val="00D83F8B"/>
    <w:rsid w:val="00D8407F"/>
    <w:rsid w:val="00D84B29"/>
    <w:rsid w:val="00D84DB0"/>
    <w:rsid w:val="00D851DB"/>
    <w:rsid w:val="00D85998"/>
    <w:rsid w:val="00D861E8"/>
    <w:rsid w:val="00D865B6"/>
    <w:rsid w:val="00D86603"/>
    <w:rsid w:val="00D86911"/>
    <w:rsid w:val="00D86B11"/>
    <w:rsid w:val="00D86E44"/>
    <w:rsid w:val="00D871A1"/>
    <w:rsid w:val="00D872C0"/>
    <w:rsid w:val="00D90761"/>
    <w:rsid w:val="00D90E80"/>
    <w:rsid w:val="00D91143"/>
    <w:rsid w:val="00D914F9"/>
    <w:rsid w:val="00D91569"/>
    <w:rsid w:val="00D9181F"/>
    <w:rsid w:val="00D91BD7"/>
    <w:rsid w:val="00D92388"/>
    <w:rsid w:val="00D92720"/>
    <w:rsid w:val="00D93041"/>
    <w:rsid w:val="00D9420D"/>
    <w:rsid w:val="00D94D5E"/>
    <w:rsid w:val="00D960A6"/>
    <w:rsid w:val="00D9623F"/>
    <w:rsid w:val="00D9624F"/>
    <w:rsid w:val="00D963DA"/>
    <w:rsid w:val="00D96A5A"/>
    <w:rsid w:val="00D96D9A"/>
    <w:rsid w:val="00D97176"/>
    <w:rsid w:val="00DA12CC"/>
    <w:rsid w:val="00DA138D"/>
    <w:rsid w:val="00DA1BA1"/>
    <w:rsid w:val="00DA1CEF"/>
    <w:rsid w:val="00DA1E46"/>
    <w:rsid w:val="00DA1EAA"/>
    <w:rsid w:val="00DA229A"/>
    <w:rsid w:val="00DA2666"/>
    <w:rsid w:val="00DA26C1"/>
    <w:rsid w:val="00DA2D88"/>
    <w:rsid w:val="00DA30C1"/>
    <w:rsid w:val="00DA30F6"/>
    <w:rsid w:val="00DA342F"/>
    <w:rsid w:val="00DA36ED"/>
    <w:rsid w:val="00DA3CFF"/>
    <w:rsid w:val="00DA4816"/>
    <w:rsid w:val="00DA4B04"/>
    <w:rsid w:val="00DA4CA2"/>
    <w:rsid w:val="00DA5223"/>
    <w:rsid w:val="00DA522D"/>
    <w:rsid w:val="00DA5896"/>
    <w:rsid w:val="00DA6373"/>
    <w:rsid w:val="00DA6620"/>
    <w:rsid w:val="00DA6ECD"/>
    <w:rsid w:val="00DA6FD0"/>
    <w:rsid w:val="00DA70AA"/>
    <w:rsid w:val="00DA734E"/>
    <w:rsid w:val="00DA7681"/>
    <w:rsid w:val="00DB0672"/>
    <w:rsid w:val="00DB10D9"/>
    <w:rsid w:val="00DB29F4"/>
    <w:rsid w:val="00DB2B31"/>
    <w:rsid w:val="00DB2CB8"/>
    <w:rsid w:val="00DB2D56"/>
    <w:rsid w:val="00DB302B"/>
    <w:rsid w:val="00DB324A"/>
    <w:rsid w:val="00DB3B29"/>
    <w:rsid w:val="00DB3BE0"/>
    <w:rsid w:val="00DB4078"/>
    <w:rsid w:val="00DB44A1"/>
    <w:rsid w:val="00DB47F3"/>
    <w:rsid w:val="00DB4CAC"/>
    <w:rsid w:val="00DB4E0B"/>
    <w:rsid w:val="00DB501C"/>
    <w:rsid w:val="00DB5154"/>
    <w:rsid w:val="00DB52E0"/>
    <w:rsid w:val="00DB53ED"/>
    <w:rsid w:val="00DB56A2"/>
    <w:rsid w:val="00DB5D26"/>
    <w:rsid w:val="00DB6043"/>
    <w:rsid w:val="00DB6263"/>
    <w:rsid w:val="00DB6279"/>
    <w:rsid w:val="00DB75FE"/>
    <w:rsid w:val="00DB79A8"/>
    <w:rsid w:val="00DB7D17"/>
    <w:rsid w:val="00DB7D2B"/>
    <w:rsid w:val="00DC0660"/>
    <w:rsid w:val="00DC1D11"/>
    <w:rsid w:val="00DC219D"/>
    <w:rsid w:val="00DC23A5"/>
    <w:rsid w:val="00DC241F"/>
    <w:rsid w:val="00DC31C4"/>
    <w:rsid w:val="00DC3262"/>
    <w:rsid w:val="00DC4270"/>
    <w:rsid w:val="00DC4371"/>
    <w:rsid w:val="00DC51BE"/>
    <w:rsid w:val="00DC51D9"/>
    <w:rsid w:val="00DC5227"/>
    <w:rsid w:val="00DC524E"/>
    <w:rsid w:val="00DC5947"/>
    <w:rsid w:val="00DC5A36"/>
    <w:rsid w:val="00DC5F2A"/>
    <w:rsid w:val="00DC67AD"/>
    <w:rsid w:val="00DC6E75"/>
    <w:rsid w:val="00DC7C8A"/>
    <w:rsid w:val="00DD0B69"/>
    <w:rsid w:val="00DD0F2E"/>
    <w:rsid w:val="00DD1066"/>
    <w:rsid w:val="00DD12B4"/>
    <w:rsid w:val="00DD149D"/>
    <w:rsid w:val="00DD17DA"/>
    <w:rsid w:val="00DD1C4B"/>
    <w:rsid w:val="00DD1CDD"/>
    <w:rsid w:val="00DD1E88"/>
    <w:rsid w:val="00DD2125"/>
    <w:rsid w:val="00DD2745"/>
    <w:rsid w:val="00DD2ADB"/>
    <w:rsid w:val="00DD37E3"/>
    <w:rsid w:val="00DD398F"/>
    <w:rsid w:val="00DD3E44"/>
    <w:rsid w:val="00DD4344"/>
    <w:rsid w:val="00DD437D"/>
    <w:rsid w:val="00DD5054"/>
    <w:rsid w:val="00DD5489"/>
    <w:rsid w:val="00DD5AF1"/>
    <w:rsid w:val="00DD5D75"/>
    <w:rsid w:val="00DD6694"/>
    <w:rsid w:val="00DD68B4"/>
    <w:rsid w:val="00DD757F"/>
    <w:rsid w:val="00DD7E72"/>
    <w:rsid w:val="00DE08E8"/>
    <w:rsid w:val="00DE0989"/>
    <w:rsid w:val="00DE0AD1"/>
    <w:rsid w:val="00DE1205"/>
    <w:rsid w:val="00DE15DE"/>
    <w:rsid w:val="00DE2C43"/>
    <w:rsid w:val="00DE2E60"/>
    <w:rsid w:val="00DE3647"/>
    <w:rsid w:val="00DE39D5"/>
    <w:rsid w:val="00DE3A13"/>
    <w:rsid w:val="00DE3B34"/>
    <w:rsid w:val="00DE4259"/>
    <w:rsid w:val="00DE4266"/>
    <w:rsid w:val="00DE5247"/>
    <w:rsid w:val="00DE5306"/>
    <w:rsid w:val="00DE557F"/>
    <w:rsid w:val="00DE59DB"/>
    <w:rsid w:val="00DE5AF2"/>
    <w:rsid w:val="00DE6964"/>
    <w:rsid w:val="00DE69EF"/>
    <w:rsid w:val="00DE79AE"/>
    <w:rsid w:val="00DF114C"/>
    <w:rsid w:val="00DF1BEB"/>
    <w:rsid w:val="00DF242F"/>
    <w:rsid w:val="00DF3252"/>
    <w:rsid w:val="00DF3525"/>
    <w:rsid w:val="00DF36F5"/>
    <w:rsid w:val="00DF3D66"/>
    <w:rsid w:val="00DF3F40"/>
    <w:rsid w:val="00DF48E5"/>
    <w:rsid w:val="00DF4978"/>
    <w:rsid w:val="00DF5056"/>
    <w:rsid w:val="00DF5B16"/>
    <w:rsid w:val="00DF5E1D"/>
    <w:rsid w:val="00DF6B46"/>
    <w:rsid w:val="00DF6B7F"/>
    <w:rsid w:val="00DF776F"/>
    <w:rsid w:val="00DF7947"/>
    <w:rsid w:val="00E004F3"/>
    <w:rsid w:val="00E00AB6"/>
    <w:rsid w:val="00E00C22"/>
    <w:rsid w:val="00E01358"/>
    <w:rsid w:val="00E014BE"/>
    <w:rsid w:val="00E01933"/>
    <w:rsid w:val="00E01943"/>
    <w:rsid w:val="00E01C1C"/>
    <w:rsid w:val="00E01CA4"/>
    <w:rsid w:val="00E020A3"/>
    <w:rsid w:val="00E021E1"/>
    <w:rsid w:val="00E023E2"/>
    <w:rsid w:val="00E02753"/>
    <w:rsid w:val="00E02A86"/>
    <w:rsid w:val="00E02FD0"/>
    <w:rsid w:val="00E03041"/>
    <w:rsid w:val="00E0316B"/>
    <w:rsid w:val="00E03FFC"/>
    <w:rsid w:val="00E04483"/>
    <w:rsid w:val="00E0453E"/>
    <w:rsid w:val="00E04FEF"/>
    <w:rsid w:val="00E05381"/>
    <w:rsid w:val="00E05A29"/>
    <w:rsid w:val="00E05F44"/>
    <w:rsid w:val="00E06066"/>
    <w:rsid w:val="00E060A2"/>
    <w:rsid w:val="00E067C0"/>
    <w:rsid w:val="00E06FA1"/>
    <w:rsid w:val="00E07A46"/>
    <w:rsid w:val="00E108D7"/>
    <w:rsid w:val="00E109EB"/>
    <w:rsid w:val="00E10A91"/>
    <w:rsid w:val="00E11066"/>
    <w:rsid w:val="00E11162"/>
    <w:rsid w:val="00E121F0"/>
    <w:rsid w:val="00E12278"/>
    <w:rsid w:val="00E12690"/>
    <w:rsid w:val="00E12EBD"/>
    <w:rsid w:val="00E132EA"/>
    <w:rsid w:val="00E13564"/>
    <w:rsid w:val="00E145DD"/>
    <w:rsid w:val="00E14E10"/>
    <w:rsid w:val="00E14FB9"/>
    <w:rsid w:val="00E15AF6"/>
    <w:rsid w:val="00E16FC8"/>
    <w:rsid w:val="00E209E3"/>
    <w:rsid w:val="00E20B6A"/>
    <w:rsid w:val="00E22CF5"/>
    <w:rsid w:val="00E2318F"/>
    <w:rsid w:val="00E2424A"/>
    <w:rsid w:val="00E2477B"/>
    <w:rsid w:val="00E2587B"/>
    <w:rsid w:val="00E258A9"/>
    <w:rsid w:val="00E2677F"/>
    <w:rsid w:val="00E26C52"/>
    <w:rsid w:val="00E26E6F"/>
    <w:rsid w:val="00E27654"/>
    <w:rsid w:val="00E27891"/>
    <w:rsid w:val="00E2795E"/>
    <w:rsid w:val="00E30097"/>
    <w:rsid w:val="00E30528"/>
    <w:rsid w:val="00E30B57"/>
    <w:rsid w:val="00E3123D"/>
    <w:rsid w:val="00E31B34"/>
    <w:rsid w:val="00E322D7"/>
    <w:rsid w:val="00E32A82"/>
    <w:rsid w:val="00E32B06"/>
    <w:rsid w:val="00E32D3C"/>
    <w:rsid w:val="00E339A9"/>
    <w:rsid w:val="00E33F51"/>
    <w:rsid w:val="00E344B7"/>
    <w:rsid w:val="00E345BF"/>
    <w:rsid w:val="00E35104"/>
    <w:rsid w:val="00E355D9"/>
    <w:rsid w:val="00E35972"/>
    <w:rsid w:val="00E35D52"/>
    <w:rsid w:val="00E35E13"/>
    <w:rsid w:val="00E3608B"/>
    <w:rsid w:val="00E36638"/>
    <w:rsid w:val="00E367ED"/>
    <w:rsid w:val="00E3697A"/>
    <w:rsid w:val="00E36D04"/>
    <w:rsid w:val="00E4043C"/>
    <w:rsid w:val="00E40B98"/>
    <w:rsid w:val="00E41266"/>
    <w:rsid w:val="00E41919"/>
    <w:rsid w:val="00E41CB6"/>
    <w:rsid w:val="00E42602"/>
    <w:rsid w:val="00E429E1"/>
    <w:rsid w:val="00E430E4"/>
    <w:rsid w:val="00E4325C"/>
    <w:rsid w:val="00E4450C"/>
    <w:rsid w:val="00E44A1B"/>
    <w:rsid w:val="00E44B4D"/>
    <w:rsid w:val="00E44C35"/>
    <w:rsid w:val="00E45515"/>
    <w:rsid w:val="00E459CA"/>
    <w:rsid w:val="00E45AC3"/>
    <w:rsid w:val="00E45ACA"/>
    <w:rsid w:val="00E45DDA"/>
    <w:rsid w:val="00E462D7"/>
    <w:rsid w:val="00E47E32"/>
    <w:rsid w:val="00E47E5B"/>
    <w:rsid w:val="00E47EF8"/>
    <w:rsid w:val="00E50011"/>
    <w:rsid w:val="00E50382"/>
    <w:rsid w:val="00E505D2"/>
    <w:rsid w:val="00E50A83"/>
    <w:rsid w:val="00E50BDB"/>
    <w:rsid w:val="00E50CE9"/>
    <w:rsid w:val="00E51719"/>
    <w:rsid w:val="00E522A1"/>
    <w:rsid w:val="00E522BE"/>
    <w:rsid w:val="00E5268F"/>
    <w:rsid w:val="00E527BD"/>
    <w:rsid w:val="00E52F97"/>
    <w:rsid w:val="00E531A1"/>
    <w:rsid w:val="00E53353"/>
    <w:rsid w:val="00E53592"/>
    <w:rsid w:val="00E5399D"/>
    <w:rsid w:val="00E53F59"/>
    <w:rsid w:val="00E53F5D"/>
    <w:rsid w:val="00E53FF1"/>
    <w:rsid w:val="00E550AC"/>
    <w:rsid w:val="00E555EB"/>
    <w:rsid w:val="00E5645F"/>
    <w:rsid w:val="00E56FCF"/>
    <w:rsid w:val="00E57234"/>
    <w:rsid w:val="00E57AB5"/>
    <w:rsid w:val="00E57ABA"/>
    <w:rsid w:val="00E57F4D"/>
    <w:rsid w:val="00E60274"/>
    <w:rsid w:val="00E60294"/>
    <w:rsid w:val="00E60547"/>
    <w:rsid w:val="00E60ACB"/>
    <w:rsid w:val="00E61335"/>
    <w:rsid w:val="00E61554"/>
    <w:rsid w:val="00E620B7"/>
    <w:rsid w:val="00E626CD"/>
    <w:rsid w:val="00E630C2"/>
    <w:rsid w:val="00E6324F"/>
    <w:rsid w:val="00E6351D"/>
    <w:rsid w:val="00E63820"/>
    <w:rsid w:val="00E63997"/>
    <w:rsid w:val="00E63CDE"/>
    <w:rsid w:val="00E64E3F"/>
    <w:rsid w:val="00E65ACD"/>
    <w:rsid w:val="00E65AE5"/>
    <w:rsid w:val="00E663B2"/>
    <w:rsid w:val="00E66E3C"/>
    <w:rsid w:val="00E670BD"/>
    <w:rsid w:val="00E670C9"/>
    <w:rsid w:val="00E670FD"/>
    <w:rsid w:val="00E67258"/>
    <w:rsid w:val="00E67B9D"/>
    <w:rsid w:val="00E703C0"/>
    <w:rsid w:val="00E70B0B"/>
    <w:rsid w:val="00E70D6D"/>
    <w:rsid w:val="00E70E1C"/>
    <w:rsid w:val="00E718ED"/>
    <w:rsid w:val="00E71ECC"/>
    <w:rsid w:val="00E72253"/>
    <w:rsid w:val="00E726D9"/>
    <w:rsid w:val="00E728DF"/>
    <w:rsid w:val="00E72D39"/>
    <w:rsid w:val="00E72EC3"/>
    <w:rsid w:val="00E731CF"/>
    <w:rsid w:val="00E734C6"/>
    <w:rsid w:val="00E7351C"/>
    <w:rsid w:val="00E74428"/>
    <w:rsid w:val="00E74E35"/>
    <w:rsid w:val="00E7554F"/>
    <w:rsid w:val="00E76AA8"/>
    <w:rsid w:val="00E771A7"/>
    <w:rsid w:val="00E7738A"/>
    <w:rsid w:val="00E7750D"/>
    <w:rsid w:val="00E7790A"/>
    <w:rsid w:val="00E77BA9"/>
    <w:rsid w:val="00E80D95"/>
    <w:rsid w:val="00E80DEF"/>
    <w:rsid w:val="00E81545"/>
    <w:rsid w:val="00E8212F"/>
    <w:rsid w:val="00E827E7"/>
    <w:rsid w:val="00E829CA"/>
    <w:rsid w:val="00E83097"/>
    <w:rsid w:val="00E83396"/>
    <w:rsid w:val="00E834CF"/>
    <w:rsid w:val="00E84818"/>
    <w:rsid w:val="00E84D90"/>
    <w:rsid w:val="00E84FCE"/>
    <w:rsid w:val="00E84FDA"/>
    <w:rsid w:val="00E85615"/>
    <w:rsid w:val="00E86B6F"/>
    <w:rsid w:val="00E86DE7"/>
    <w:rsid w:val="00E86F3D"/>
    <w:rsid w:val="00E872C9"/>
    <w:rsid w:val="00E8734F"/>
    <w:rsid w:val="00E876B9"/>
    <w:rsid w:val="00E87A03"/>
    <w:rsid w:val="00E87F31"/>
    <w:rsid w:val="00E87F67"/>
    <w:rsid w:val="00E900A3"/>
    <w:rsid w:val="00E90962"/>
    <w:rsid w:val="00E909A7"/>
    <w:rsid w:val="00E90CA2"/>
    <w:rsid w:val="00E90D96"/>
    <w:rsid w:val="00E9195B"/>
    <w:rsid w:val="00E93457"/>
    <w:rsid w:val="00E93CDF"/>
    <w:rsid w:val="00E9436D"/>
    <w:rsid w:val="00E9441E"/>
    <w:rsid w:val="00E94476"/>
    <w:rsid w:val="00E947A8"/>
    <w:rsid w:val="00E94F1E"/>
    <w:rsid w:val="00E94F97"/>
    <w:rsid w:val="00E95489"/>
    <w:rsid w:val="00E95B9A"/>
    <w:rsid w:val="00E95D41"/>
    <w:rsid w:val="00E969F9"/>
    <w:rsid w:val="00E96BAE"/>
    <w:rsid w:val="00E96FD9"/>
    <w:rsid w:val="00E96FE7"/>
    <w:rsid w:val="00EA052F"/>
    <w:rsid w:val="00EA1171"/>
    <w:rsid w:val="00EA170C"/>
    <w:rsid w:val="00EA17EB"/>
    <w:rsid w:val="00EA17EC"/>
    <w:rsid w:val="00EA1BD4"/>
    <w:rsid w:val="00EA1C1D"/>
    <w:rsid w:val="00EA2797"/>
    <w:rsid w:val="00EA2DCD"/>
    <w:rsid w:val="00EA3B60"/>
    <w:rsid w:val="00EA3BE3"/>
    <w:rsid w:val="00EA3E2A"/>
    <w:rsid w:val="00EA4CAF"/>
    <w:rsid w:val="00EA4F76"/>
    <w:rsid w:val="00EA4FD8"/>
    <w:rsid w:val="00EA50E9"/>
    <w:rsid w:val="00EA5121"/>
    <w:rsid w:val="00EA5C80"/>
    <w:rsid w:val="00EA6624"/>
    <w:rsid w:val="00EA6AE7"/>
    <w:rsid w:val="00EA6F82"/>
    <w:rsid w:val="00EA712B"/>
    <w:rsid w:val="00EA7368"/>
    <w:rsid w:val="00EA7450"/>
    <w:rsid w:val="00EA75A4"/>
    <w:rsid w:val="00EB031F"/>
    <w:rsid w:val="00EB03B0"/>
    <w:rsid w:val="00EB0428"/>
    <w:rsid w:val="00EB093C"/>
    <w:rsid w:val="00EB1BE8"/>
    <w:rsid w:val="00EB2538"/>
    <w:rsid w:val="00EB2818"/>
    <w:rsid w:val="00EB3378"/>
    <w:rsid w:val="00EB39D0"/>
    <w:rsid w:val="00EB3D35"/>
    <w:rsid w:val="00EB4098"/>
    <w:rsid w:val="00EB4317"/>
    <w:rsid w:val="00EB46A1"/>
    <w:rsid w:val="00EB4C45"/>
    <w:rsid w:val="00EB561D"/>
    <w:rsid w:val="00EB7EC2"/>
    <w:rsid w:val="00EB7F80"/>
    <w:rsid w:val="00EC0269"/>
    <w:rsid w:val="00EC07AB"/>
    <w:rsid w:val="00EC0DCE"/>
    <w:rsid w:val="00EC1521"/>
    <w:rsid w:val="00EC1B90"/>
    <w:rsid w:val="00EC3EB5"/>
    <w:rsid w:val="00EC4035"/>
    <w:rsid w:val="00EC4247"/>
    <w:rsid w:val="00EC4735"/>
    <w:rsid w:val="00EC4C61"/>
    <w:rsid w:val="00EC4E2A"/>
    <w:rsid w:val="00EC57F7"/>
    <w:rsid w:val="00EC60B3"/>
    <w:rsid w:val="00EC64C8"/>
    <w:rsid w:val="00EC6962"/>
    <w:rsid w:val="00EC6D0B"/>
    <w:rsid w:val="00EC753D"/>
    <w:rsid w:val="00EC779D"/>
    <w:rsid w:val="00EC7ADD"/>
    <w:rsid w:val="00EC7F4F"/>
    <w:rsid w:val="00ED06CE"/>
    <w:rsid w:val="00ED16C9"/>
    <w:rsid w:val="00ED1C42"/>
    <w:rsid w:val="00ED1D9A"/>
    <w:rsid w:val="00ED2711"/>
    <w:rsid w:val="00ED2E7D"/>
    <w:rsid w:val="00ED2FD1"/>
    <w:rsid w:val="00ED3660"/>
    <w:rsid w:val="00ED40CA"/>
    <w:rsid w:val="00ED427D"/>
    <w:rsid w:val="00ED4A66"/>
    <w:rsid w:val="00ED4A9B"/>
    <w:rsid w:val="00ED4DFF"/>
    <w:rsid w:val="00ED5457"/>
    <w:rsid w:val="00ED5867"/>
    <w:rsid w:val="00ED5C3A"/>
    <w:rsid w:val="00ED5D59"/>
    <w:rsid w:val="00ED6B87"/>
    <w:rsid w:val="00ED6C77"/>
    <w:rsid w:val="00ED72DE"/>
    <w:rsid w:val="00EE0162"/>
    <w:rsid w:val="00EE0401"/>
    <w:rsid w:val="00EE06F5"/>
    <w:rsid w:val="00EE09D0"/>
    <w:rsid w:val="00EE0F4F"/>
    <w:rsid w:val="00EE17BE"/>
    <w:rsid w:val="00EE1A7B"/>
    <w:rsid w:val="00EE1D24"/>
    <w:rsid w:val="00EE284F"/>
    <w:rsid w:val="00EE34FE"/>
    <w:rsid w:val="00EE3CF5"/>
    <w:rsid w:val="00EE3EE6"/>
    <w:rsid w:val="00EE43D7"/>
    <w:rsid w:val="00EE4413"/>
    <w:rsid w:val="00EE45E7"/>
    <w:rsid w:val="00EE4973"/>
    <w:rsid w:val="00EE4D00"/>
    <w:rsid w:val="00EE518F"/>
    <w:rsid w:val="00EE51FD"/>
    <w:rsid w:val="00EE5DA9"/>
    <w:rsid w:val="00EE64B6"/>
    <w:rsid w:val="00EE6CCE"/>
    <w:rsid w:val="00EE790C"/>
    <w:rsid w:val="00EE7B04"/>
    <w:rsid w:val="00EE7C7B"/>
    <w:rsid w:val="00EE7D43"/>
    <w:rsid w:val="00EE7EEB"/>
    <w:rsid w:val="00EF0053"/>
    <w:rsid w:val="00EF117A"/>
    <w:rsid w:val="00EF1468"/>
    <w:rsid w:val="00EF16E8"/>
    <w:rsid w:val="00EF1800"/>
    <w:rsid w:val="00EF2410"/>
    <w:rsid w:val="00EF29E4"/>
    <w:rsid w:val="00EF3C1E"/>
    <w:rsid w:val="00EF3D97"/>
    <w:rsid w:val="00EF479A"/>
    <w:rsid w:val="00EF4C2E"/>
    <w:rsid w:val="00EF4F04"/>
    <w:rsid w:val="00EF5499"/>
    <w:rsid w:val="00EF57E1"/>
    <w:rsid w:val="00EF597D"/>
    <w:rsid w:val="00EF5AD5"/>
    <w:rsid w:val="00EF5C2C"/>
    <w:rsid w:val="00EF5CF5"/>
    <w:rsid w:val="00EF5E32"/>
    <w:rsid w:val="00EF63F2"/>
    <w:rsid w:val="00EF7F83"/>
    <w:rsid w:val="00F0011F"/>
    <w:rsid w:val="00F0093F"/>
    <w:rsid w:val="00F01B9D"/>
    <w:rsid w:val="00F0326F"/>
    <w:rsid w:val="00F0379D"/>
    <w:rsid w:val="00F03DBF"/>
    <w:rsid w:val="00F052BD"/>
    <w:rsid w:val="00F056C8"/>
    <w:rsid w:val="00F056E6"/>
    <w:rsid w:val="00F05A66"/>
    <w:rsid w:val="00F05CD5"/>
    <w:rsid w:val="00F05D2E"/>
    <w:rsid w:val="00F05E58"/>
    <w:rsid w:val="00F06439"/>
    <w:rsid w:val="00F064BB"/>
    <w:rsid w:val="00F073A5"/>
    <w:rsid w:val="00F07697"/>
    <w:rsid w:val="00F077A4"/>
    <w:rsid w:val="00F07971"/>
    <w:rsid w:val="00F07A45"/>
    <w:rsid w:val="00F07C4C"/>
    <w:rsid w:val="00F07C54"/>
    <w:rsid w:val="00F10301"/>
    <w:rsid w:val="00F1058B"/>
    <w:rsid w:val="00F10DE4"/>
    <w:rsid w:val="00F10E12"/>
    <w:rsid w:val="00F12838"/>
    <w:rsid w:val="00F132A7"/>
    <w:rsid w:val="00F132E8"/>
    <w:rsid w:val="00F138DF"/>
    <w:rsid w:val="00F139D2"/>
    <w:rsid w:val="00F13DC5"/>
    <w:rsid w:val="00F14D77"/>
    <w:rsid w:val="00F157EB"/>
    <w:rsid w:val="00F1615F"/>
    <w:rsid w:val="00F162E3"/>
    <w:rsid w:val="00F1655B"/>
    <w:rsid w:val="00F16FBA"/>
    <w:rsid w:val="00F17705"/>
    <w:rsid w:val="00F17744"/>
    <w:rsid w:val="00F17DAB"/>
    <w:rsid w:val="00F20446"/>
    <w:rsid w:val="00F20C77"/>
    <w:rsid w:val="00F22202"/>
    <w:rsid w:val="00F2224C"/>
    <w:rsid w:val="00F22349"/>
    <w:rsid w:val="00F22618"/>
    <w:rsid w:val="00F22813"/>
    <w:rsid w:val="00F23021"/>
    <w:rsid w:val="00F230F0"/>
    <w:rsid w:val="00F231B5"/>
    <w:rsid w:val="00F2320B"/>
    <w:rsid w:val="00F2366B"/>
    <w:rsid w:val="00F23829"/>
    <w:rsid w:val="00F24DB7"/>
    <w:rsid w:val="00F25472"/>
    <w:rsid w:val="00F25AEC"/>
    <w:rsid w:val="00F25C08"/>
    <w:rsid w:val="00F26E46"/>
    <w:rsid w:val="00F270A7"/>
    <w:rsid w:val="00F27BE3"/>
    <w:rsid w:val="00F30AF1"/>
    <w:rsid w:val="00F30E64"/>
    <w:rsid w:val="00F314C7"/>
    <w:rsid w:val="00F3166E"/>
    <w:rsid w:val="00F31A18"/>
    <w:rsid w:val="00F31B25"/>
    <w:rsid w:val="00F31E26"/>
    <w:rsid w:val="00F32177"/>
    <w:rsid w:val="00F32EB3"/>
    <w:rsid w:val="00F334B3"/>
    <w:rsid w:val="00F33983"/>
    <w:rsid w:val="00F34BF6"/>
    <w:rsid w:val="00F34C30"/>
    <w:rsid w:val="00F35248"/>
    <w:rsid w:val="00F35400"/>
    <w:rsid w:val="00F371F0"/>
    <w:rsid w:val="00F4002B"/>
    <w:rsid w:val="00F40567"/>
    <w:rsid w:val="00F40C36"/>
    <w:rsid w:val="00F40D3E"/>
    <w:rsid w:val="00F4136C"/>
    <w:rsid w:val="00F415C5"/>
    <w:rsid w:val="00F41E63"/>
    <w:rsid w:val="00F424AA"/>
    <w:rsid w:val="00F424F0"/>
    <w:rsid w:val="00F439E6"/>
    <w:rsid w:val="00F44718"/>
    <w:rsid w:val="00F447E2"/>
    <w:rsid w:val="00F448C3"/>
    <w:rsid w:val="00F44A7E"/>
    <w:rsid w:val="00F44B07"/>
    <w:rsid w:val="00F44BD5"/>
    <w:rsid w:val="00F44D64"/>
    <w:rsid w:val="00F4535F"/>
    <w:rsid w:val="00F45587"/>
    <w:rsid w:val="00F45E52"/>
    <w:rsid w:val="00F45F6B"/>
    <w:rsid w:val="00F46CA9"/>
    <w:rsid w:val="00F46E30"/>
    <w:rsid w:val="00F47136"/>
    <w:rsid w:val="00F47AA8"/>
    <w:rsid w:val="00F47BF3"/>
    <w:rsid w:val="00F5034F"/>
    <w:rsid w:val="00F505AF"/>
    <w:rsid w:val="00F50F6F"/>
    <w:rsid w:val="00F50F7F"/>
    <w:rsid w:val="00F520FE"/>
    <w:rsid w:val="00F521FC"/>
    <w:rsid w:val="00F53124"/>
    <w:rsid w:val="00F5316D"/>
    <w:rsid w:val="00F53240"/>
    <w:rsid w:val="00F54174"/>
    <w:rsid w:val="00F54E36"/>
    <w:rsid w:val="00F552B1"/>
    <w:rsid w:val="00F554E3"/>
    <w:rsid w:val="00F555BB"/>
    <w:rsid w:val="00F557AB"/>
    <w:rsid w:val="00F55E9A"/>
    <w:rsid w:val="00F562DA"/>
    <w:rsid w:val="00F56AD8"/>
    <w:rsid w:val="00F56E64"/>
    <w:rsid w:val="00F57DCE"/>
    <w:rsid w:val="00F609D7"/>
    <w:rsid w:val="00F611B4"/>
    <w:rsid w:val="00F611FA"/>
    <w:rsid w:val="00F61889"/>
    <w:rsid w:val="00F62286"/>
    <w:rsid w:val="00F624D1"/>
    <w:rsid w:val="00F62503"/>
    <w:rsid w:val="00F62ABE"/>
    <w:rsid w:val="00F63066"/>
    <w:rsid w:val="00F63097"/>
    <w:rsid w:val="00F63266"/>
    <w:rsid w:val="00F639BB"/>
    <w:rsid w:val="00F63D59"/>
    <w:rsid w:val="00F63E4C"/>
    <w:rsid w:val="00F63FCA"/>
    <w:rsid w:val="00F64044"/>
    <w:rsid w:val="00F640D8"/>
    <w:rsid w:val="00F6475C"/>
    <w:rsid w:val="00F6487D"/>
    <w:rsid w:val="00F64AF4"/>
    <w:rsid w:val="00F64C3B"/>
    <w:rsid w:val="00F650C4"/>
    <w:rsid w:val="00F66418"/>
    <w:rsid w:val="00F6676B"/>
    <w:rsid w:val="00F66BDC"/>
    <w:rsid w:val="00F67139"/>
    <w:rsid w:val="00F67277"/>
    <w:rsid w:val="00F679A6"/>
    <w:rsid w:val="00F67AF4"/>
    <w:rsid w:val="00F67FE2"/>
    <w:rsid w:val="00F706A7"/>
    <w:rsid w:val="00F71275"/>
    <w:rsid w:val="00F71522"/>
    <w:rsid w:val="00F717AA"/>
    <w:rsid w:val="00F7191E"/>
    <w:rsid w:val="00F71A0A"/>
    <w:rsid w:val="00F71D3A"/>
    <w:rsid w:val="00F71F27"/>
    <w:rsid w:val="00F7302D"/>
    <w:rsid w:val="00F74604"/>
    <w:rsid w:val="00F74AA7"/>
    <w:rsid w:val="00F74DD6"/>
    <w:rsid w:val="00F75CFB"/>
    <w:rsid w:val="00F75F1D"/>
    <w:rsid w:val="00F763FF"/>
    <w:rsid w:val="00F76676"/>
    <w:rsid w:val="00F76D11"/>
    <w:rsid w:val="00F770DF"/>
    <w:rsid w:val="00F7755A"/>
    <w:rsid w:val="00F77931"/>
    <w:rsid w:val="00F77986"/>
    <w:rsid w:val="00F77AC2"/>
    <w:rsid w:val="00F77CAD"/>
    <w:rsid w:val="00F809DC"/>
    <w:rsid w:val="00F80E80"/>
    <w:rsid w:val="00F812A6"/>
    <w:rsid w:val="00F81A9A"/>
    <w:rsid w:val="00F81EC9"/>
    <w:rsid w:val="00F829E0"/>
    <w:rsid w:val="00F8340E"/>
    <w:rsid w:val="00F835AD"/>
    <w:rsid w:val="00F838A0"/>
    <w:rsid w:val="00F84456"/>
    <w:rsid w:val="00F84FBE"/>
    <w:rsid w:val="00F861F5"/>
    <w:rsid w:val="00F86606"/>
    <w:rsid w:val="00F868E4"/>
    <w:rsid w:val="00F86959"/>
    <w:rsid w:val="00F876CE"/>
    <w:rsid w:val="00F879BE"/>
    <w:rsid w:val="00F87A97"/>
    <w:rsid w:val="00F87DBE"/>
    <w:rsid w:val="00F9019D"/>
    <w:rsid w:val="00F90B34"/>
    <w:rsid w:val="00F90EE8"/>
    <w:rsid w:val="00F90F8F"/>
    <w:rsid w:val="00F92D2B"/>
    <w:rsid w:val="00F9327D"/>
    <w:rsid w:val="00F936ED"/>
    <w:rsid w:val="00F93A6F"/>
    <w:rsid w:val="00F93BCC"/>
    <w:rsid w:val="00F94071"/>
    <w:rsid w:val="00F941B9"/>
    <w:rsid w:val="00F9465D"/>
    <w:rsid w:val="00F956FD"/>
    <w:rsid w:val="00F95AAC"/>
    <w:rsid w:val="00F95FC8"/>
    <w:rsid w:val="00F967C3"/>
    <w:rsid w:val="00F9789E"/>
    <w:rsid w:val="00FA0384"/>
    <w:rsid w:val="00FA09A9"/>
    <w:rsid w:val="00FA0F81"/>
    <w:rsid w:val="00FA1011"/>
    <w:rsid w:val="00FA10D4"/>
    <w:rsid w:val="00FA1845"/>
    <w:rsid w:val="00FA3BA7"/>
    <w:rsid w:val="00FA482D"/>
    <w:rsid w:val="00FA50B3"/>
    <w:rsid w:val="00FA57BB"/>
    <w:rsid w:val="00FA57D6"/>
    <w:rsid w:val="00FA6791"/>
    <w:rsid w:val="00FA6B97"/>
    <w:rsid w:val="00FA6DB7"/>
    <w:rsid w:val="00FA6DE1"/>
    <w:rsid w:val="00FA6F8F"/>
    <w:rsid w:val="00FA783C"/>
    <w:rsid w:val="00FA7899"/>
    <w:rsid w:val="00FA79E9"/>
    <w:rsid w:val="00FA7F65"/>
    <w:rsid w:val="00FA7F8E"/>
    <w:rsid w:val="00FB00E6"/>
    <w:rsid w:val="00FB0DE3"/>
    <w:rsid w:val="00FB1A5B"/>
    <w:rsid w:val="00FB1F2E"/>
    <w:rsid w:val="00FB227C"/>
    <w:rsid w:val="00FB3B60"/>
    <w:rsid w:val="00FB4B75"/>
    <w:rsid w:val="00FB4DEB"/>
    <w:rsid w:val="00FB54E0"/>
    <w:rsid w:val="00FB5767"/>
    <w:rsid w:val="00FB5B11"/>
    <w:rsid w:val="00FB5F4B"/>
    <w:rsid w:val="00FB60BC"/>
    <w:rsid w:val="00FB62C4"/>
    <w:rsid w:val="00FB6440"/>
    <w:rsid w:val="00FB65CF"/>
    <w:rsid w:val="00FB7611"/>
    <w:rsid w:val="00FB7D28"/>
    <w:rsid w:val="00FB7E78"/>
    <w:rsid w:val="00FC029F"/>
    <w:rsid w:val="00FC02F0"/>
    <w:rsid w:val="00FC19A6"/>
    <w:rsid w:val="00FC2507"/>
    <w:rsid w:val="00FC2BBF"/>
    <w:rsid w:val="00FC2D36"/>
    <w:rsid w:val="00FC31BE"/>
    <w:rsid w:val="00FC35A2"/>
    <w:rsid w:val="00FC374B"/>
    <w:rsid w:val="00FC38E8"/>
    <w:rsid w:val="00FC3B04"/>
    <w:rsid w:val="00FC3DBF"/>
    <w:rsid w:val="00FC3E6A"/>
    <w:rsid w:val="00FC4227"/>
    <w:rsid w:val="00FC4349"/>
    <w:rsid w:val="00FC4F7F"/>
    <w:rsid w:val="00FC587B"/>
    <w:rsid w:val="00FC5C84"/>
    <w:rsid w:val="00FC5EE3"/>
    <w:rsid w:val="00FC6950"/>
    <w:rsid w:val="00FC6AC6"/>
    <w:rsid w:val="00FC6CD8"/>
    <w:rsid w:val="00FC7436"/>
    <w:rsid w:val="00FC7788"/>
    <w:rsid w:val="00FD00EF"/>
    <w:rsid w:val="00FD039B"/>
    <w:rsid w:val="00FD16D6"/>
    <w:rsid w:val="00FD182C"/>
    <w:rsid w:val="00FD30A3"/>
    <w:rsid w:val="00FD32A0"/>
    <w:rsid w:val="00FD3481"/>
    <w:rsid w:val="00FD3CDA"/>
    <w:rsid w:val="00FD3CF0"/>
    <w:rsid w:val="00FD4178"/>
    <w:rsid w:val="00FD43D5"/>
    <w:rsid w:val="00FD54E7"/>
    <w:rsid w:val="00FD6ADA"/>
    <w:rsid w:val="00FD717E"/>
    <w:rsid w:val="00FD7603"/>
    <w:rsid w:val="00FD78E1"/>
    <w:rsid w:val="00FD7973"/>
    <w:rsid w:val="00FD7B93"/>
    <w:rsid w:val="00FD7C84"/>
    <w:rsid w:val="00FE0466"/>
    <w:rsid w:val="00FE0AC7"/>
    <w:rsid w:val="00FE0B9A"/>
    <w:rsid w:val="00FE0CB1"/>
    <w:rsid w:val="00FE102E"/>
    <w:rsid w:val="00FE14D7"/>
    <w:rsid w:val="00FE15FE"/>
    <w:rsid w:val="00FE1699"/>
    <w:rsid w:val="00FE244E"/>
    <w:rsid w:val="00FE3233"/>
    <w:rsid w:val="00FE379A"/>
    <w:rsid w:val="00FE4D14"/>
    <w:rsid w:val="00FE5ECC"/>
    <w:rsid w:val="00FE5FD2"/>
    <w:rsid w:val="00FE62F1"/>
    <w:rsid w:val="00FE6830"/>
    <w:rsid w:val="00FE6974"/>
    <w:rsid w:val="00FE6D78"/>
    <w:rsid w:val="00FE75DF"/>
    <w:rsid w:val="00FE78A4"/>
    <w:rsid w:val="00FE7CC4"/>
    <w:rsid w:val="00FE7CE4"/>
    <w:rsid w:val="00FE7E73"/>
    <w:rsid w:val="00FF008B"/>
    <w:rsid w:val="00FF1010"/>
    <w:rsid w:val="00FF1573"/>
    <w:rsid w:val="00FF2148"/>
    <w:rsid w:val="00FF222D"/>
    <w:rsid w:val="00FF2384"/>
    <w:rsid w:val="00FF2F55"/>
    <w:rsid w:val="00FF3A02"/>
    <w:rsid w:val="00FF3EDA"/>
    <w:rsid w:val="00FF3F83"/>
    <w:rsid w:val="00FF4450"/>
    <w:rsid w:val="00FF4527"/>
    <w:rsid w:val="00FF4B98"/>
    <w:rsid w:val="00FF4F4E"/>
    <w:rsid w:val="00FF589B"/>
    <w:rsid w:val="00FF59D5"/>
    <w:rsid w:val="00FF5BE8"/>
    <w:rsid w:val="00FF5FDB"/>
    <w:rsid w:val="00FF6400"/>
    <w:rsid w:val="00FF6DFD"/>
    <w:rsid w:val="00FF7212"/>
    <w:rsid w:val="00FF752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CAEB51"/>
  <w14:defaultImageDpi w14:val="32767"/>
  <w15:docId w15:val="{791D597D-ED7B-804D-8677-11C6B258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E4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F1C61"/>
  </w:style>
  <w:style w:type="character" w:customStyle="1" w:styleId="FootnoteTextChar">
    <w:name w:val="Footnote Text Char"/>
    <w:basedOn w:val="DefaultParagraphFont"/>
    <w:link w:val="FootnoteText"/>
    <w:uiPriority w:val="99"/>
    <w:rsid w:val="005F1C61"/>
    <w:rPr>
      <w:rFonts w:ascii="Cambria" w:eastAsia="Cambria" w:hAnsi="Cambria" w:cs="Times New Roman"/>
    </w:rPr>
  </w:style>
  <w:style w:type="character" w:styleId="FootnoteReference">
    <w:name w:val="footnote reference"/>
    <w:basedOn w:val="DefaultParagraphFont"/>
    <w:uiPriority w:val="99"/>
    <w:unhideWhenUsed/>
    <w:rsid w:val="005F1C61"/>
    <w:rPr>
      <w:vertAlign w:val="superscript"/>
    </w:rPr>
  </w:style>
  <w:style w:type="paragraph" w:styleId="Footer">
    <w:name w:val="footer"/>
    <w:basedOn w:val="Normal"/>
    <w:link w:val="FooterChar"/>
    <w:uiPriority w:val="99"/>
    <w:unhideWhenUsed/>
    <w:rsid w:val="005F1C61"/>
    <w:pPr>
      <w:tabs>
        <w:tab w:val="center" w:pos="4320"/>
        <w:tab w:val="right" w:pos="8640"/>
      </w:tabs>
    </w:pPr>
  </w:style>
  <w:style w:type="character" w:customStyle="1" w:styleId="FooterChar">
    <w:name w:val="Footer Char"/>
    <w:basedOn w:val="DefaultParagraphFont"/>
    <w:link w:val="Footer"/>
    <w:uiPriority w:val="99"/>
    <w:rsid w:val="005F1C61"/>
    <w:rPr>
      <w:rFonts w:ascii="Cambria" w:eastAsia="Cambria" w:hAnsi="Cambria" w:cs="Times New Roman"/>
    </w:rPr>
  </w:style>
  <w:style w:type="character" w:styleId="PageNumber">
    <w:name w:val="page number"/>
    <w:basedOn w:val="DefaultParagraphFont"/>
    <w:uiPriority w:val="99"/>
    <w:semiHidden/>
    <w:unhideWhenUsed/>
    <w:rsid w:val="005F1C61"/>
  </w:style>
  <w:style w:type="paragraph" w:styleId="Header">
    <w:name w:val="header"/>
    <w:basedOn w:val="Normal"/>
    <w:link w:val="HeaderChar"/>
    <w:uiPriority w:val="99"/>
    <w:unhideWhenUsed/>
    <w:rsid w:val="005F1C61"/>
    <w:pPr>
      <w:tabs>
        <w:tab w:val="center" w:pos="4320"/>
        <w:tab w:val="right" w:pos="8640"/>
      </w:tabs>
    </w:pPr>
  </w:style>
  <w:style w:type="character" w:customStyle="1" w:styleId="HeaderChar">
    <w:name w:val="Header Char"/>
    <w:basedOn w:val="DefaultParagraphFont"/>
    <w:link w:val="Header"/>
    <w:uiPriority w:val="99"/>
    <w:rsid w:val="005F1C61"/>
    <w:rPr>
      <w:rFonts w:ascii="Cambria" w:eastAsia="Cambria" w:hAnsi="Cambria" w:cs="Times New Roman"/>
    </w:rPr>
  </w:style>
  <w:style w:type="paragraph" w:styleId="ListParagraph">
    <w:name w:val="List Paragraph"/>
    <w:basedOn w:val="Normal"/>
    <w:uiPriority w:val="34"/>
    <w:qFormat/>
    <w:rsid w:val="005F1C61"/>
    <w:pPr>
      <w:ind w:left="720"/>
      <w:contextualSpacing/>
    </w:pPr>
  </w:style>
  <w:style w:type="character" w:styleId="PlaceholderText">
    <w:name w:val="Placeholder Text"/>
    <w:basedOn w:val="DefaultParagraphFont"/>
    <w:uiPriority w:val="99"/>
    <w:semiHidden/>
    <w:rsid w:val="005F1C61"/>
    <w:rPr>
      <w:color w:val="808080"/>
    </w:rPr>
  </w:style>
  <w:style w:type="paragraph" w:styleId="BalloonText">
    <w:name w:val="Balloon Text"/>
    <w:basedOn w:val="Normal"/>
    <w:link w:val="BalloonTextChar"/>
    <w:uiPriority w:val="99"/>
    <w:semiHidden/>
    <w:unhideWhenUsed/>
    <w:rsid w:val="005F1C61"/>
    <w:rPr>
      <w:rFonts w:ascii="Lucida Grande" w:hAnsi="Lucida Grande"/>
      <w:sz w:val="18"/>
      <w:szCs w:val="18"/>
    </w:rPr>
  </w:style>
  <w:style w:type="character" w:customStyle="1" w:styleId="BalloonTextChar">
    <w:name w:val="Balloon Text Char"/>
    <w:basedOn w:val="DefaultParagraphFont"/>
    <w:link w:val="BalloonText"/>
    <w:uiPriority w:val="99"/>
    <w:semiHidden/>
    <w:rsid w:val="005F1C61"/>
    <w:rPr>
      <w:rFonts w:ascii="Lucida Grande" w:eastAsia="Cambria" w:hAnsi="Lucida Grande" w:cs="Times New Roman"/>
      <w:sz w:val="18"/>
      <w:szCs w:val="18"/>
    </w:rPr>
  </w:style>
  <w:style w:type="character" w:styleId="LineNumber">
    <w:name w:val="line number"/>
    <w:basedOn w:val="DefaultParagraphFont"/>
    <w:uiPriority w:val="99"/>
    <w:semiHidden/>
    <w:unhideWhenUsed/>
    <w:rsid w:val="005F1C61"/>
  </w:style>
  <w:style w:type="character" w:styleId="Hyperlink">
    <w:name w:val="Hyperlink"/>
    <w:basedOn w:val="DefaultParagraphFont"/>
    <w:uiPriority w:val="99"/>
    <w:unhideWhenUsed/>
    <w:rsid w:val="005F1C61"/>
    <w:rPr>
      <w:color w:val="0563C1" w:themeColor="hyperlink"/>
      <w:u w:val="single"/>
    </w:rPr>
  </w:style>
  <w:style w:type="character" w:styleId="FollowedHyperlink">
    <w:name w:val="FollowedHyperlink"/>
    <w:basedOn w:val="DefaultParagraphFont"/>
    <w:uiPriority w:val="99"/>
    <w:semiHidden/>
    <w:unhideWhenUsed/>
    <w:rsid w:val="00071BF3"/>
    <w:rPr>
      <w:color w:val="954F72" w:themeColor="followedHyperlink"/>
      <w:u w:val="single"/>
    </w:rPr>
  </w:style>
  <w:style w:type="character" w:customStyle="1" w:styleId="nlmstring-name">
    <w:name w:val="nlm_string-name"/>
    <w:basedOn w:val="DefaultParagraphFont"/>
    <w:rsid w:val="00F77931"/>
  </w:style>
  <w:style w:type="character" w:customStyle="1" w:styleId="nlmgiven-names">
    <w:name w:val="nlm_given-names"/>
    <w:basedOn w:val="DefaultParagraphFont"/>
    <w:rsid w:val="00F77931"/>
  </w:style>
  <w:style w:type="character" w:customStyle="1" w:styleId="nlmyear">
    <w:name w:val="nlm_year"/>
    <w:basedOn w:val="DefaultParagraphFont"/>
    <w:rsid w:val="00F77931"/>
  </w:style>
  <w:style w:type="character" w:customStyle="1" w:styleId="nlmarticle-title">
    <w:name w:val="nlm_article-title"/>
    <w:basedOn w:val="DefaultParagraphFont"/>
    <w:rsid w:val="00F77931"/>
  </w:style>
  <w:style w:type="character" w:customStyle="1" w:styleId="nlmfpage">
    <w:name w:val="nlm_fpage"/>
    <w:basedOn w:val="DefaultParagraphFont"/>
    <w:rsid w:val="00F77931"/>
  </w:style>
  <w:style w:type="character" w:customStyle="1" w:styleId="nlmlpage">
    <w:name w:val="nlm_lpage"/>
    <w:basedOn w:val="DefaultParagraphFont"/>
    <w:rsid w:val="00F77931"/>
  </w:style>
  <w:style w:type="character" w:styleId="UnresolvedMention">
    <w:name w:val="Unresolved Mention"/>
    <w:basedOn w:val="DefaultParagraphFont"/>
    <w:uiPriority w:val="99"/>
    <w:semiHidden/>
    <w:unhideWhenUsed/>
    <w:rsid w:val="00A46448"/>
    <w:rPr>
      <w:color w:val="605E5C"/>
      <w:shd w:val="clear" w:color="auto" w:fill="E1DFDD"/>
    </w:rPr>
  </w:style>
  <w:style w:type="table" w:styleId="TableGrid">
    <w:name w:val="Table Grid"/>
    <w:basedOn w:val="TableNormal"/>
    <w:uiPriority w:val="39"/>
    <w:rsid w:val="002C4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5A66"/>
  </w:style>
  <w:style w:type="character" w:styleId="CommentReference">
    <w:name w:val="annotation reference"/>
    <w:basedOn w:val="DefaultParagraphFont"/>
    <w:uiPriority w:val="99"/>
    <w:semiHidden/>
    <w:unhideWhenUsed/>
    <w:rsid w:val="004F791A"/>
    <w:rPr>
      <w:sz w:val="16"/>
      <w:szCs w:val="16"/>
    </w:rPr>
  </w:style>
  <w:style w:type="paragraph" w:styleId="CommentText">
    <w:name w:val="annotation text"/>
    <w:basedOn w:val="Normal"/>
    <w:link w:val="CommentTextChar"/>
    <w:uiPriority w:val="99"/>
    <w:semiHidden/>
    <w:unhideWhenUsed/>
    <w:rsid w:val="004F791A"/>
    <w:rPr>
      <w:sz w:val="20"/>
      <w:szCs w:val="20"/>
    </w:rPr>
  </w:style>
  <w:style w:type="character" w:customStyle="1" w:styleId="CommentTextChar">
    <w:name w:val="Comment Text Char"/>
    <w:basedOn w:val="DefaultParagraphFont"/>
    <w:link w:val="CommentText"/>
    <w:uiPriority w:val="99"/>
    <w:semiHidden/>
    <w:rsid w:val="004F79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791A"/>
    <w:rPr>
      <w:b/>
      <w:bCs/>
    </w:rPr>
  </w:style>
  <w:style w:type="character" w:customStyle="1" w:styleId="CommentSubjectChar">
    <w:name w:val="Comment Subject Char"/>
    <w:basedOn w:val="CommentTextChar"/>
    <w:link w:val="CommentSubject"/>
    <w:uiPriority w:val="99"/>
    <w:semiHidden/>
    <w:rsid w:val="004F791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76">
      <w:bodyDiv w:val="1"/>
      <w:marLeft w:val="0"/>
      <w:marRight w:val="0"/>
      <w:marTop w:val="0"/>
      <w:marBottom w:val="0"/>
      <w:divBdr>
        <w:top w:val="none" w:sz="0" w:space="0" w:color="auto"/>
        <w:left w:val="none" w:sz="0" w:space="0" w:color="auto"/>
        <w:bottom w:val="none" w:sz="0" w:space="0" w:color="auto"/>
        <w:right w:val="none" w:sz="0" w:space="0" w:color="auto"/>
      </w:divBdr>
      <w:divsChild>
        <w:div w:id="1211113284">
          <w:marLeft w:val="0"/>
          <w:marRight w:val="0"/>
          <w:marTop w:val="0"/>
          <w:marBottom w:val="0"/>
          <w:divBdr>
            <w:top w:val="none" w:sz="0" w:space="0" w:color="auto"/>
            <w:left w:val="none" w:sz="0" w:space="0" w:color="auto"/>
            <w:bottom w:val="none" w:sz="0" w:space="0" w:color="auto"/>
            <w:right w:val="none" w:sz="0" w:space="0" w:color="auto"/>
          </w:divBdr>
          <w:divsChild>
            <w:div w:id="250968124">
              <w:marLeft w:val="0"/>
              <w:marRight w:val="0"/>
              <w:marTop w:val="0"/>
              <w:marBottom w:val="0"/>
              <w:divBdr>
                <w:top w:val="none" w:sz="0" w:space="0" w:color="auto"/>
                <w:left w:val="none" w:sz="0" w:space="0" w:color="auto"/>
                <w:bottom w:val="none" w:sz="0" w:space="0" w:color="auto"/>
                <w:right w:val="none" w:sz="0" w:space="0" w:color="auto"/>
              </w:divBdr>
              <w:divsChild>
                <w:div w:id="17829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788">
      <w:bodyDiv w:val="1"/>
      <w:marLeft w:val="0"/>
      <w:marRight w:val="0"/>
      <w:marTop w:val="0"/>
      <w:marBottom w:val="0"/>
      <w:divBdr>
        <w:top w:val="none" w:sz="0" w:space="0" w:color="auto"/>
        <w:left w:val="none" w:sz="0" w:space="0" w:color="auto"/>
        <w:bottom w:val="none" w:sz="0" w:space="0" w:color="auto"/>
        <w:right w:val="none" w:sz="0" w:space="0" w:color="auto"/>
      </w:divBdr>
      <w:divsChild>
        <w:div w:id="788359335">
          <w:marLeft w:val="0"/>
          <w:marRight w:val="0"/>
          <w:marTop w:val="0"/>
          <w:marBottom w:val="0"/>
          <w:divBdr>
            <w:top w:val="none" w:sz="0" w:space="0" w:color="auto"/>
            <w:left w:val="none" w:sz="0" w:space="0" w:color="auto"/>
            <w:bottom w:val="none" w:sz="0" w:space="0" w:color="auto"/>
            <w:right w:val="none" w:sz="0" w:space="0" w:color="auto"/>
          </w:divBdr>
          <w:divsChild>
            <w:div w:id="808398872">
              <w:marLeft w:val="0"/>
              <w:marRight w:val="0"/>
              <w:marTop w:val="0"/>
              <w:marBottom w:val="0"/>
              <w:divBdr>
                <w:top w:val="none" w:sz="0" w:space="0" w:color="auto"/>
                <w:left w:val="none" w:sz="0" w:space="0" w:color="auto"/>
                <w:bottom w:val="none" w:sz="0" w:space="0" w:color="auto"/>
                <w:right w:val="none" w:sz="0" w:space="0" w:color="auto"/>
              </w:divBdr>
              <w:divsChild>
                <w:div w:id="17853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9234">
      <w:bodyDiv w:val="1"/>
      <w:marLeft w:val="0"/>
      <w:marRight w:val="0"/>
      <w:marTop w:val="0"/>
      <w:marBottom w:val="0"/>
      <w:divBdr>
        <w:top w:val="none" w:sz="0" w:space="0" w:color="auto"/>
        <w:left w:val="none" w:sz="0" w:space="0" w:color="auto"/>
        <w:bottom w:val="none" w:sz="0" w:space="0" w:color="auto"/>
        <w:right w:val="none" w:sz="0" w:space="0" w:color="auto"/>
      </w:divBdr>
    </w:div>
    <w:div w:id="163475691">
      <w:bodyDiv w:val="1"/>
      <w:marLeft w:val="0"/>
      <w:marRight w:val="0"/>
      <w:marTop w:val="0"/>
      <w:marBottom w:val="0"/>
      <w:divBdr>
        <w:top w:val="none" w:sz="0" w:space="0" w:color="auto"/>
        <w:left w:val="none" w:sz="0" w:space="0" w:color="auto"/>
        <w:bottom w:val="none" w:sz="0" w:space="0" w:color="auto"/>
        <w:right w:val="none" w:sz="0" w:space="0" w:color="auto"/>
      </w:divBdr>
    </w:div>
    <w:div w:id="168450683">
      <w:bodyDiv w:val="1"/>
      <w:marLeft w:val="0"/>
      <w:marRight w:val="0"/>
      <w:marTop w:val="0"/>
      <w:marBottom w:val="0"/>
      <w:divBdr>
        <w:top w:val="none" w:sz="0" w:space="0" w:color="auto"/>
        <w:left w:val="none" w:sz="0" w:space="0" w:color="auto"/>
        <w:bottom w:val="none" w:sz="0" w:space="0" w:color="auto"/>
        <w:right w:val="none" w:sz="0" w:space="0" w:color="auto"/>
      </w:divBdr>
    </w:div>
    <w:div w:id="266036519">
      <w:bodyDiv w:val="1"/>
      <w:marLeft w:val="0"/>
      <w:marRight w:val="0"/>
      <w:marTop w:val="0"/>
      <w:marBottom w:val="0"/>
      <w:divBdr>
        <w:top w:val="none" w:sz="0" w:space="0" w:color="auto"/>
        <w:left w:val="none" w:sz="0" w:space="0" w:color="auto"/>
        <w:bottom w:val="none" w:sz="0" w:space="0" w:color="auto"/>
        <w:right w:val="none" w:sz="0" w:space="0" w:color="auto"/>
      </w:divBdr>
    </w:div>
    <w:div w:id="275262114">
      <w:bodyDiv w:val="1"/>
      <w:marLeft w:val="0"/>
      <w:marRight w:val="0"/>
      <w:marTop w:val="0"/>
      <w:marBottom w:val="0"/>
      <w:divBdr>
        <w:top w:val="none" w:sz="0" w:space="0" w:color="auto"/>
        <w:left w:val="none" w:sz="0" w:space="0" w:color="auto"/>
        <w:bottom w:val="none" w:sz="0" w:space="0" w:color="auto"/>
        <w:right w:val="none" w:sz="0" w:space="0" w:color="auto"/>
      </w:divBdr>
    </w:div>
    <w:div w:id="324356731">
      <w:bodyDiv w:val="1"/>
      <w:marLeft w:val="0"/>
      <w:marRight w:val="0"/>
      <w:marTop w:val="0"/>
      <w:marBottom w:val="0"/>
      <w:divBdr>
        <w:top w:val="none" w:sz="0" w:space="0" w:color="auto"/>
        <w:left w:val="none" w:sz="0" w:space="0" w:color="auto"/>
        <w:bottom w:val="none" w:sz="0" w:space="0" w:color="auto"/>
        <w:right w:val="none" w:sz="0" w:space="0" w:color="auto"/>
      </w:divBdr>
    </w:div>
    <w:div w:id="360934042">
      <w:bodyDiv w:val="1"/>
      <w:marLeft w:val="0"/>
      <w:marRight w:val="0"/>
      <w:marTop w:val="0"/>
      <w:marBottom w:val="0"/>
      <w:divBdr>
        <w:top w:val="none" w:sz="0" w:space="0" w:color="auto"/>
        <w:left w:val="none" w:sz="0" w:space="0" w:color="auto"/>
        <w:bottom w:val="none" w:sz="0" w:space="0" w:color="auto"/>
        <w:right w:val="none" w:sz="0" w:space="0" w:color="auto"/>
      </w:divBdr>
    </w:div>
    <w:div w:id="393939248">
      <w:bodyDiv w:val="1"/>
      <w:marLeft w:val="0"/>
      <w:marRight w:val="0"/>
      <w:marTop w:val="0"/>
      <w:marBottom w:val="0"/>
      <w:divBdr>
        <w:top w:val="none" w:sz="0" w:space="0" w:color="auto"/>
        <w:left w:val="none" w:sz="0" w:space="0" w:color="auto"/>
        <w:bottom w:val="none" w:sz="0" w:space="0" w:color="auto"/>
        <w:right w:val="none" w:sz="0" w:space="0" w:color="auto"/>
      </w:divBdr>
    </w:div>
    <w:div w:id="402223840">
      <w:bodyDiv w:val="1"/>
      <w:marLeft w:val="0"/>
      <w:marRight w:val="0"/>
      <w:marTop w:val="0"/>
      <w:marBottom w:val="0"/>
      <w:divBdr>
        <w:top w:val="none" w:sz="0" w:space="0" w:color="auto"/>
        <w:left w:val="none" w:sz="0" w:space="0" w:color="auto"/>
        <w:bottom w:val="none" w:sz="0" w:space="0" w:color="auto"/>
        <w:right w:val="none" w:sz="0" w:space="0" w:color="auto"/>
      </w:divBdr>
      <w:divsChild>
        <w:div w:id="748887957">
          <w:marLeft w:val="0"/>
          <w:marRight w:val="0"/>
          <w:marTop w:val="0"/>
          <w:marBottom w:val="0"/>
          <w:divBdr>
            <w:top w:val="none" w:sz="0" w:space="0" w:color="auto"/>
            <w:left w:val="none" w:sz="0" w:space="0" w:color="auto"/>
            <w:bottom w:val="none" w:sz="0" w:space="0" w:color="auto"/>
            <w:right w:val="none" w:sz="0" w:space="0" w:color="auto"/>
          </w:divBdr>
          <w:divsChild>
            <w:div w:id="1634561269">
              <w:marLeft w:val="0"/>
              <w:marRight w:val="0"/>
              <w:marTop w:val="0"/>
              <w:marBottom w:val="0"/>
              <w:divBdr>
                <w:top w:val="none" w:sz="0" w:space="0" w:color="auto"/>
                <w:left w:val="none" w:sz="0" w:space="0" w:color="auto"/>
                <w:bottom w:val="none" w:sz="0" w:space="0" w:color="auto"/>
                <w:right w:val="none" w:sz="0" w:space="0" w:color="auto"/>
              </w:divBdr>
              <w:divsChild>
                <w:div w:id="755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7529">
      <w:bodyDiv w:val="1"/>
      <w:marLeft w:val="0"/>
      <w:marRight w:val="0"/>
      <w:marTop w:val="0"/>
      <w:marBottom w:val="0"/>
      <w:divBdr>
        <w:top w:val="none" w:sz="0" w:space="0" w:color="auto"/>
        <w:left w:val="none" w:sz="0" w:space="0" w:color="auto"/>
        <w:bottom w:val="none" w:sz="0" w:space="0" w:color="auto"/>
        <w:right w:val="none" w:sz="0" w:space="0" w:color="auto"/>
      </w:divBdr>
      <w:divsChild>
        <w:div w:id="448667587">
          <w:marLeft w:val="0"/>
          <w:marRight w:val="0"/>
          <w:marTop w:val="0"/>
          <w:marBottom w:val="0"/>
          <w:divBdr>
            <w:top w:val="none" w:sz="0" w:space="0" w:color="auto"/>
            <w:left w:val="none" w:sz="0" w:space="0" w:color="auto"/>
            <w:bottom w:val="none" w:sz="0" w:space="0" w:color="auto"/>
            <w:right w:val="none" w:sz="0" w:space="0" w:color="auto"/>
          </w:divBdr>
        </w:div>
      </w:divsChild>
    </w:div>
    <w:div w:id="467939973">
      <w:bodyDiv w:val="1"/>
      <w:marLeft w:val="0"/>
      <w:marRight w:val="0"/>
      <w:marTop w:val="0"/>
      <w:marBottom w:val="0"/>
      <w:divBdr>
        <w:top w:val="none" w:sz="0" w:space="0" w:color="auto"/>
        <w:left w:val="none" w:sz="0" w:space="0" w:color="auto"/>
        <w:bottom w:val="none" w:sz="0" w:space="0" w:color="auto"/>
        <w:right w:val="none" w:sz="0" w:space="0" w:color="auto"/>
      </w:divBdr>
    </w:div>
    <w:div w:id="518932901">
      <w:bodyDiv w:val="1"/>
      <w:marLeft w:val="0"/>
      <w:marRight w:val="0"/>
      <w:marTop w:val="0"/>
      <w:marBottom w:val="0"/>
      <w:divBdr>
        <w:top w:val="none" w:sz="0" w:space="0" w:color="auto"/>
        <w:left w:val="none" w:sz="0" w:space="0" w:color="auto"/>
        <w:bottom w:val="none" w:sz="0" w:space="0" w:color="auto"/>
        <w:right w:val="none" w:sz="0" w:space="0" w:color="auto"/>
      </w:divBdr>
    </w:div>
    <w:div w:id="533856801">
      <w:bodyDiv w:val="1"/>
      <w:marLeft w:val="0"/>
      <w:marRight w:val="0"/>
      <w:marTop w:val="0"/>
      <w:marBottom w:val="0"/>
      <w:divBdr>
        <w:top w:val="none" w:sz="0" w:space="0" w:color="auto"/>
        <w:left w:val="none" w:sz="0" w:space="0" w:color="auto"/>
        <w:bottom w:val="none" w:sz="0" w:space="0" w:color="auto"/>
        <w:right w:val="none" w:sz="0" w:space="0" w:color="auto"/>
      </w:divBdr>
      <w:divsChild>
        <w:div w:id="2123305542">
          <w:marLeft w:val="0"/>
          <w:marRight w:val="0"/>
          <w:marTop w:val="0"/>
          <w:marBottom w:val="0"/>
          <w:divBdr>
            <w:top w:val="none" w:sz="0" w:space="0" w:color="auto"/>
            <w:left w:val="none" w:sz="0" w:space="0" w:color="auto"/>
            <w:bottom w:val="none" w:sz="0" w:space="0" w:color="auto"/>
            <w:right w:val="none" w:sz="0" w:space="0" w:color="auto"/>
          </w:divBdr>
          <w:divsChild>
            <w:div w:id="1379235001">
              <w:marLeft w:val="0"/>
              <w:marRight w:val="0"/>
              <w:marTop w:val="0"/>
              <w:marBottom w:val="0"/>
              <w:divBdr>
                <w:top w:val="none" w:sz="0" w:space="0" w:color="auto"/>
                <w:left w:val="none" w:sz="0" w:space="0" w:color="auto"/>
                <w:bottom w:val="none" w:sz="0" w:space="0" w:color="auto"/>
                <w:right w:val="none" w:sz="0" w:space="0" w:color="auto"/>
              </w:divBdr>
              <w:divsChild>
                <w:div w:id="84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98021">
      <w:bodyDiv w:val="1"/>
      <w:marLeft w:val="0"/>
      <w:marRight w:val="0"/>
      <w:marTop w:val="0"/>
      <w:marBottom w:val="0"/>
      <w:divBdr>
        <w:top w:val="none" w:sz="0" w:space="0" w:color="auto"/>
        <w:left w:val="none" w:sz="0" w:space="0" w:color="auto"/>
        <w:bottom w:val="none" w:sz="0" w:space="0" w:color="auto"/>
        <w:right w:val="none" w:sz="0" w:space="0" w:color="auto"/>
      </w:divBdr>
    </w:div>
    <w:div w:id="649093921">
      <w:bodyDiv w:val="1"/>
      <w:marLeft w:val="0"/>
      <w:marRight w:val="0"/>
      <w:marTop w:val="0"/>
      <w:marBottom w:val="0"/>
      <w:divBdr>
        <w:top w:val="none" w:sz="0" w:space="0" w:color="auto"/>
        <w:left w:val="none" w:sz="0" w:space="0" w:color="auto"/>
        <w:bottom w:val="none" w:sz="0" w:space="0" w:color="auto"/>
        <w:right w:val="none" w:sz="0" w:space="0" w:color="auto"/>
      </w:divBdr>
      <w:divsChild>
        <w:div w:id="1492870349">
          <w:marLeft w:val="0"/>
          <w:marRight w:val="0"/>
          <w:marTop w:val="0"/>
          <w:marBottom w:val="0"/>
          <w:divBdr>
            <w:top w:val="none" w:sz="0" w:space="0" w:color="auto"/>
            <w:left w:val="none" w:sz="0" w:space="0" w:color="auto"/>
            <w:bottom w:val="none" w:sz="0" w:space="0" w:color="auto"/>
            <w:right w:val="none" w:sz="0" w:space="0" w:color="auto"/>
          </w:divBdr>
          <w:divsChild>
            <w:div w:id="457576942">
              <w:marLeft w:val="0"/>
              <w:marRight w:val="0"/>
              <w:marTop w:val="0"/>
              <w:marBottom w:val="0"/>
              <w:divBdr>
                <w:top w:val="none" w:sz="0" w:space="0" w:color="auto"/>
                <w:left w:val="none" w:sz="0" w:space="0" w:color="auto"/>
                <w:bottom w:val="none" w:sz="0" w:space="0" w:color="auto"/>
                <w:right w:val="none" w:sz="0" w:space="0" w:color="auto"/>
              </w:divBdr>
              <w:divsChild>
                <w:div w:id="9465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3298">
      <w:bodyDiv w:val="1"/>
      <w:marLeft w:val="0"/>
      <w:marRight w:val="0"/>
      <w:marTop w:val="0"/>
      <w:marBottom w:val="0"/>
      <w:divBdr>
        <w:top w:val="none" w:sz="0" w:space="0" w:color="auto"/>
        <w:left w:val="none" w:sz="0" w:space="0" w:color="auto"/>
        <w:bottom w:val="none" w:sz="0" w:space="0" w:color="auto"/>
        <w:right w:val="none" w:sz="0" w:space="0" w:color="auto"/>
      </w:divBdr>
    </w:div>
    <w:div w:id="651906964">
      <w:bodyDiv w:val="1"/>
      <w:marLeft w:val="0"/>
      <w:marRight w:val="0"/>
      <w:marTop w:val="0"/>
      <w:marBottom w:val="0"/>
      <w:divBdr>
        <w:top w:val="none" w:sz="0" w:space="0" w:color="auto"/>
        <w:left w:val="none" w:sz="0" w:space="0" w:color="auto"/>
        <w:bottom w:val="none" w:sz="0" w:space="0" w:color="auto"/>
        <w:right w:val="none" w:sz="0" w:space="0" w:color="auto"/>
      </w:divBdr>
    </w:div>
    <w:div w:id="724794518">
      <w:bodyDiv w:val="1"/>
      <w:marLeft w:val="0"/>
      <w:marRight w:val="0"/>
      <w:marTop w:val="0"/>
      <w:marBottom w:val="0"/>
      <w:divBdr>
        <w:top w:val="none" w:sz="0" w:space="0" w:color="auto"/>
        <w:left w:val="none" w:sz="0" w:space="0" w:color="auto"/>
        <w:bottom w:val="none" w:sz="0" w:space="0" w:color="auto"/>
        <w:right w:val="none" w:sz="0" w:space="0" w:color="auto"/>
      </w:divBdr>
    </w:div>
    <w:div w:id="739912639">
      <w:bodyDiv w:val="1"/>
      <w:marLeft w:val="0"/>
      <w:marRight w:val="0"/>
      <w:marTop w:val="0"/>
      <w:marBottom w:val="0"/>
      <w:divBdr>
        <w:top w:val="none" w:sz="0" w:space="0" w:color="auto"/>
        <w:left w:val="none" w:sz="0" w:space="0" w:color="auto"/>
        <w:bottom w:val="none" w:sz="0" w:space="0" w:color="auto"/>
        <w:right w:val="none" w:sz="0" w:space="0" w:color="auto"/>
      </w:divBdr>
    </w:div>
    <w:div w:id="866210332">
      <w:bodyDiv w:val="1"/>
      <w:marLeft w:val="0"/>
      <w:marRight w:val="0"/>
      <w:marTop w:val="0"/>
      <w:marBottom w:val="0"/>
      <w:divBdr>
        <w:top w:val="none" w:sz="0" w:space="0" w:color="auto"/>
        <w:left w:val="none" w:sz="0" w:space="0" w:color="auto"/>
        <w:bottom w:val="none" w:sz="0" w:space="0" w:color="auto"/>
        <w:right w:val="none" w:sz="0" w:space="0" w:color="auto"/>
      </w:divBdr>
      <w:divsChild>
        <w:div w:id="1101336378">
          <w:marLeft w:val="0"/>
          <w:marRight w:val="0"/>
          <w:marTop w:val="0"/>
          <w:marBottom w:val="0"/>
          <w:divBdr>
            <w:top w:val="none" w:sz="0" w:space="0" w:color="auto"/>
            <w:left w:val="none" w:sz="0" w:space="0" w:color="auto"/>
            <w:bottom w:val="none" w:sz="0" w:space="0" w:color="auto"/>
            <w:right w:val="none" w:sz="0" w:space="0" w:color="auto"/>
          </w:divBdr>
          <w:divsChild>
            <w:div w:id="505485365">
              <w:marLeft w:val="0"/>
              <w:marRight w:val="0"/>
              <w:marTop w:val="0"/>
              <w:marBottom w:val="0"/>
              <w:divBdr>
                <w:top w:val="none" w:sz="0" w:space="0" w:color="auto"/>
                <w:left w:val="none" w:sz="0" w:space="0" w:color="auto"/>
                <w:bottom w:val="none" w:sz="0" w:space="0" w:color="auto"/>
                <w:right w:val="none" w:sz="0" w:space="0" w:color="auto"/>
              </w:divBdr>
              <w:divsChild>
                <w:div w:id="1174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1794">
      <w:bodyDiv w:val="1"/>
      <w:marLeft w:val="0"/>
      <w:marRight w:val="0"/>
      <w:marTop w:val="0"/>
      <w:marBottom w:val="0"/>
      <w:divBdr>
        <w:top w:val="none" w:sz="0" w:space="0" w:color="auto"/>
        <w:left w:val="none" w:sz="0" w:space="0" w:color="auto"/>
        <w:bottom w:val="none" w:sz="0" w:space="0" w:color="auto"/>
        <w:right w:val="none" w:sz="0" w:space="0" w:color="auto"/>
      </w:divBdr>
    </w:div>
    <w:div w:id="952055782">
      <w:bodyDiv w:val="1"/>
      <w:marLeft w:val="0"/>
      <w:marRight w:val="0"/>
      <w:marTop w:val="0"/>
      <w:marBottom w:val="0"/>
      <w:divBdr>
        <w:top w:val="none" w:sz="0" w:space="0" w:color="auto"/>
        <w:left w:val="none" w:sz="0" w:space="0" w:color="auto"/>
        <w:bottom w:val="none" w:sz="0" w:space="0" w:color="auto"/>
        <w:right w:val="none" w:sz="0" w:space="0" w:color="auto"/>
      </w:divBdr>
    </w:div>
    <w:div w:id="1075198864">
      <w:bodyDiv w:val="1"/>
      <w:marLeft w:val="0"/>
      <w:marRight w:val="0"/>
      <w:marTop w:val="0"/>
      <w:marBottom w:val="0"/>
      <w:divBdr>
        <w:top w:val="none" w:sz="0" w:space="0" w:color="auto"/>
        <w:left w:val="none" w:sz="0" w:space="0" w:color="auto"/>
        <w:bottom w:val="none" w:sz="0" w:space="0" w:color="auto"/>
        <w:right w:val="none" w:sz="0" w:space="0" w:color="auto"/>
      </w:divBdr>
    </w:div>
    <w:div w:id="1117260445">
      <w:bodyDiv w:val="1"/>
      <w:marLeft w:val="0"/>
      <w:marRight w:val="0"/>
      <w:marTop w:val="0"/>
      <w:marBottom w:val="0"/>
      <w:divBdr>
        <w:top w:val="none" w:sz="0" w:space="0" w:color="auto"/>
        <w:left w:val="none" w:sz="0" w:space="0" w:color="auto"/>
        <w:bottom w:val="none" w:sz="0" w:space="0" w:color="auto"/>
        <w:right w:val="none" w:sz="0" w:space="0" w:color="auto"/>
      </w:divBdr>
    </w:div>
    <w:div w:id="1169638940">
      <w:bodyDiv w:val="1"/>
      <w:marLeft w:val="0"/>
      <w:marRight w:val="0"/>
      <w:marTop w:val="0"/>
      <w:marBottom w:val="0"/>
      <w:divBdr>
        <w:top w:val="none" w:sz="0" w:space="0" w:color="auto"/>
        <w:left w:val="none" w:sz="0" w:space="0" w:color="auto"/>
        <w:bottom w:val="none" w:sz="0" w:space="0" w:color="auto"/>
        <w:right w:val="none" w:sz="0" w:space="0" w:color="auto"/>
      </w:divBdr>
    </w:div>
    <w:div w:id="1171023075">
      <w:bodyDiv w:val="1"/>
      <w:marLeft w:val="0"/>
      <w:marRight w:val="0"/>
      <w:marTop w:val="0"/>
      <w:marBottom w:val="0"/>
      <w:divBdr>
        <w:top w:val="none" w:sz="0" w:space="0" w:color="auto"/>
        <w:left w:val="none" w:sz="0" w:space="0" w:color="auto"/>
        <w:bottom w:val="none" w:sz="0" w:space="0" w:color="auto"/>
        <w:right w:val="none" w:sz="0" w:space="0" w:color="auto"/>
      </w:divBdr>
    </w:div>
    <w:div w:id="1209537108">
      <w:bodyDiv w:val="1"/>
      <w:marLeft w:val="0"/>
      <w:marRight w:val="0"/>
      <w:marTop w:val="0"/>
      <w:marBottom w:val="0"/>
      <w:divBdr>
        <w:top w:val="none" w:sz="0" w:space="0" w:color="auto"/>
        <w:left w:val="none" w:sz="0" w:space="0" w:color="auto"/>
        <w:bottom w:val="none" w:sz="0" w:space="0" w:color="auto"/>
        <w:right w:val="none" w:sz="0" w:space="0" w:color="auto"/>
      </w:divBdr>
    </w:div>
    <w:div w:id="1230843244">
      <w:bodyDiv w:val="1"/>
      <w:marLeft w:val="0"/>
      <w:marRight w:val="0"/>
      <w:marTop w:val="0"/>
      <w:marBottom w:val="0"/>
      <w:divBdr>
        <w:top w:val="none" w:sz="0" w:space="0" w:color="auto"/>
        <w:left w:val="none" w:sz="0" w:space="0" w:color="auto"/>
        <w:bottom w:val="none" w:sz="0" w:space="0" w:color="auto"/>
        <w:right w:val="none" w:sz="0" w:space="0" w:color="auto"/>
      </w:divBdr>
    </w:div>
    <w:div w:id="1239636422">
      <w:bodyDiv w:val="1"/>
      <w:marLeft w:val="0"/>
      <w:marRight w:val="0"/>
      <w:marTop w:val="0"/>
      <w:marBottom w:val="0"/>
      <w:divBdr>
        <w:top w:val="none" w:sz="0" w:space="0" w:color="auto"/>
        <w:left w:val="none" w:sz="0" w:space="0" w:color="auto"/>
        <w:bottom w:val="none" w:sz="0" w:space="0" w:color="auto"/>
        <w:right w:val="none" w:sz="0" w:space="0" w:color="auto"/>
      </w:divBdr>
    </w:div>
    <w:div w:id="1245802274">
      <w:bodyDiv w:val="1"/>
      <w:marLeft w:val="0"/>
      <w:marRight w:val="0"/>
      <w:marTop w:val="0"/>
      <w:marBottom w:val="0"/>
      <w:divBdr>
        <w:top w:val="none" w:sz="0" w:space="0" w:color="auto"/>
        <w:left w:val="none" w:sz="0" w:space="0" w:color="auto"/>
        <w:bottom w:val="none" w:sz="0" w:space="0" w:color="auto"/>
        <w:right w:val="none" w:sz="0" w:space="0" w:color="auto"/>
      </w:divBdr>
    </w:div>
    <w:div w:id="1248467158">
      <w:bodyDiv w:val="1"/>
      <w:marLeft w:val="0"/>
      <w:marRight w:val="0"/>
      <w:marTop w:val="0"/>
      <w:marBottom w:val="0"/>
      <w:divBdr>
        <w:top w:val="none" w:sz="0" w:space="0" w:color="auto"/>
        <w:left w:val="none" w:sz="0" w:space="0" w:color="auto"/>
        <w:bottom w:val="none" w:sz="0" w:space="0" w:color="auto"/>
        <w:right w:val="none" w:sz="0" w:space="0" w:color="auto"/>
      </w:divBdr>
    </w:div>
    <w:div w:id="1266502590">
      <w:bodyDiv w:val="1"/>
      <w:marLeft w:val="0"/>
      <w:marRight w:val="0"/>
      <w:marTop w:val="0"/>
      <w:marBottom w:val="0"/>
      <w:divBdr>
        <w:top w:val="none" w:sz="0" w:space="0" w:color="auto"/>
        <w:left w:val="none" w:sz="0" w:space="0" w:color="auto"/>
        <w:bottom w:val="none" w:sz="0" w:space="0" w:color="auto"/>
        <w:right w:val="none" w:sz="0" w:space="0" w:color="auto"/>
      </w:divBdr>
    </w:div>
    <w:div w:id="1357343562">
      <w:bodyDiv w:val="1"/>
      <w:marLeft w:val="0"/>
      <w:marRight w:val="0"/>
      <w:marTop w:val="0"/>
      <w:marBottom w:val="0"/>
      <w:divBdr>
        <w:top w:val="none" w:sz="0" w:space="0" w:color="auto"/>
        <w:left w:val="none" w:sz="0" w:space="0" w:color="auto"/>
        <w:bottom w:val="none" w:sz="0" w:space="0" w:color="auto"/>
        <w:right w:val="none" w:sz="0" w:space="0" w:color="auto"/>
      </w:divBdr>
      <w:divsChild>
        <w:div w:id="2093509048">
          <w:marLeft w:val="0"/>
          <w:marRight w:val="0"/>
          <w:marTop w:val="0"/>
          <w:marBottom w:val="0"/>
          <w:divBdr>
            <w:top w:val="none" w:sz="0" w:space="0" w:color="auto"/>
            <w:left w:val="none" w:sz="0" w:space="0" w:color="auto"/>
            <w:bottom w:val="none" w:sz="0" w:space="0" w:color="auto"/>
            <w:right w:val="none" w:sz="0" w:space="0" w:color="auto"/>
          </w:divBdr>
          <w:divsChild>
            <w:div w:id="1128619691">
              <w:marLeft w:val="0"/>
              <w:marRight w:val="0"/>
              <w:marTop w:val="0"/>
              <w:marBottom w:val="0"/>
              <w:divBdr>
                <w:top w:val="none" w:sz="0" w:space="0" w:color="auto"/>
                <w:left w:val="none" w:sz="0" w:space="0" w:color="auto"/>
                <w:bottom w:val="none" w:sz="0" w:space="0" w:color="auto"/>
                <w:right w:val="none" w:sz="0" w:space="0" w:color="auto"/>
              </w:divBdr>
              <w:divsChild>
                <w:div w:id="954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6172">
      <w:bodyDiv w:val="1"/>
      <w:marLeft w:val="0"/>
      <w:marRight w:val="0"/>
      <w:marTop w:val="0"/>
      <w:marBottom w:val="0"/>
      <w:divBdr>
        <w:top w:val="none" w:sz="0" w:space="0" w:color="auto"/>
        <w:left w:val="none" w:sz="0" w:space="0" w:color="auto"/>
        <w:bottom w:val="none" w:sz="0" w:space="0" w:color="auto"/>
        <w:right w:val="none" w:sz="0" w:space="0" w:color="auto"/>
      </w:divBdr>
      <w:divsChild>
        <w:div w:id="1893612597">
          <w:marLeft w:val="0"/>
          <w:marRight w:val="0"/>
          <w:marTop w:val="0"/>
          <w:marBottom w:val="0"/>
          <w:divBdr>
            <w:top w:val="none" w:sz="0" w:space="0" w:color="auto"/>
            <w:left w:val="none" w:sz="0" w:space="0" w:color="auto"/>
            <w:bottom w:val="none" w:sz="0" w:space="0" w:color="auto"/>
            <w:right w:val="none" w:sz="0" w:space="0" w:color="auto"/>
          </w:divBdr>
          <w:divsChild>
            <w:div w:id="290210393">
              <w:marLeft w:val="0"/>
              <w:marRight w:val="0"/>
              <w:marTop w:val="0"/>
              <w:marBottom w:val="0"/>
              <w:divBdr>
                <w:top w:val="none" w:sz="0" w:space="0" w:color="auto"/>
                <w:left w:val="none" w:sz="0" w:space="0" w:color="auto"/>
                <w:bottom w:val="none" w:sz="0" w:space="0" w:color="auto"/>
                <w:right w:val="none" w:sz="0" w:space="0" w:color="auto"/>
              </w:divBdr>
              <w:divsChild>
                <w:div w:id="1068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38329">
      <w:bodyDiv w:val="1"/>
      <w:marLeft w:val="0"/>
      <w:marRight w:val="0"/>
      <w:marTop w:val="0"/>
      <w:marBottom w:val="0"/>
      <w:divBdr>
        <w:top w:val="none" w:sz="0" w:space="0" w:color="auto"/>
        <w:left w:val="none" w:sz="0" w:space="0" w:color="auto"/>
        <w:bottom w:val="none" w:sz="0" w:space="0" w:color="auto"/>
        <w:right w:val="none" w:sz="0" w:space="0" w:color="auto"/>
      </w:divBdr>
      <w:divsChild>
        <w:div w:id="363990112">
          <w:marLeft w:val="0"/>
          <w:marRight w:val="0"/>
          <w:marTop w:val="0"/>
          <w:marBottom w:val="0"/>
          <w:divBdr>
            <w:top w:val="none" w:sz="0" w:space="0" w:color="auto"/>
            <w:left w:val="none" w:sz="0" w:space="0" w:color="auto"/>
            <w:bottom w:val="none" w:sz="0" w:space="0" w:color="auto"/>
            <w:right w:val="none" w:sz="0" w:space="0" w:color="auto"/>
          </w:divBdr>
          <w:divsChild>
            <w:div w:id="1963032342">
              <w:marLeft w:val="0"/>
              <w:marRight w:val="0"/>
              <w:marTop w:val="0"/>
              <w:marBottom w:val="0"/>
              <w:divBdr>
                <w:top w:val="none" w:sz="0" w:space="0" w:color="auto"/>
                <w:left w:val="none" w:sz="0" w:space="0" w:color="auto"/>
                <w:bottom w:val="none" w:sz="0" w:space="0" w:color="auto"/>
                <w:right w:val="none" w:sz="0" w:space="0" w:color="auto"/>
              </w:divBdr>
              <w:divsChild>
                <w:div w:id="5212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900">
      <w:bodyDiv w:val="1"/>
      <w:marLeft w:val="0"/>
      <w:marRight w:val="0"/>
      <w:marTop w:val="0"/>
      <w:marBottom w:val="0"/>
      <w:divBdr>
        <w:top w:val="none" w:sz="0" w:space="0" w:color="auto"/>
        <w:left w:val="none" w:sz="0" w:space="0" w:color="auto"/>
        <w:bottom w:val="none" w:sz="0" w:space="0" w:color="auto"/>
        <w:right w:val="none" w:sz="0" w:space="0" w:color="auto"/>
      </w:divBdr>
    </w:div>
    <w:div w:id="1545020258">
      <w:bodyDiv w:val="1"/>
      <w:marLeft w:val="0"/>
      <w:marRight w:val="0"/>
      <w:marTop w:val="0"/>
      <w:marBottom w:val="0"/>
      <w:divBdr>
        <w:top w:val="none" w:sz="0" w:space="0" w:color="auto"/>
        <w:left w:val="none" w:sz="0" w:space="0" w:color="auto"/>
        <w:bottom w:val="none" w:sz="0" w:space="0" w:color="auto"/>
        <w:right w:val="none" w:sz="0" w:space="0" w:color="auto"/>
      </w:divBdr>
    </w:div>
    <w:div w:id="1550259987">
      <w:bodyDiv w:val="1"/>
      <w:marLeft w:val="0"/>
      <w:marRight w:val="0"/>
      <w:marTop w:val="0"/>
      <w:marBottom w:val="0"/>
      <w:divBdr>
        <w:top w:val="none" w:sz="0" w:space="0" w:color="auto"/>
        <w:left w:val="none" w:sz="0" w:space="0" w:color="auto"/>
        <w:bottom w:val="none" w:sz="0" w:space="0" w:color="auto"/>
        <w:right w:val="none" w:sz="0" w:space="0" w:color="auto"/>
      </w:divBdr>
      <w:divsChild>
        <w:div w:id="89352969">
          <w:marLeft w:val="0"/>
          <w:marRight w:val="0"/>
          <w:marTop w:val="0"/>
          <w:marBottom w:val="0"/>
          <w:divBdr>
            <w:top w:val="none" w:sz="0" w:space="0" w:color="auto"/>
            <w:left w:val="none" w:sz="0" w:space="0" w:color="auto"/>
            <w:bottom w:val="none" w:sz="0" w:space="0" w:color="auto"/>
            <w:right w:val="none" w:sz="0" w:space="0" w:color="auto"/>
          </w:divBdr>
          <w:divsChild>
            <w:div w:id="1386952895">
              <w:marLeft w:val="0"/>
              <w:marRight w:val="0"/>
              <w:marTop w:val="0"/>
              <w:marBottom w:val="0"/>
              <w:divBdr>
                <w:top w:val="none" w:sz="0" w:space="0" w:color="auto"/>
                <w:left w:val="none" w:sz="0" w:space="0" w:color="auto"/>
                <w:bottom w:val="none" w:sz="0" w:space="0" w:color="auto"/>
                <w:right w:val="none" w:sz="0" w:space="0" w:color="auto"/>
              </w:divBdr>
              <w:divsChild>
                <w:div w:id="1965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73664">
      <w:bodyDiv w:val="1"/>
      <w:marLeft w:val="0"/>
      <w:marRight w:val="0"/>
      <w:marTop w:val="0"/>
      <w:marBottom w:val="0"/>
      <w:divBdr>
        <w:top w:val="none" w:sz="0" w:space="0" w:color="auto"/>
        <w:left w:val="none" w:sz="0" w:space="0" w:color="auto"/>
        <w:bottom w:val="none" w:sz="0" w:space="0" w:color="auto"/>
        <w:right w:val="none" w:sz="0" w:space="0" w:color="auto"/>
      </w:divBdr>
    </w:div>
    <w:div w:id="1586106681">
      <w:bodyDiv w:val="1"/>
      <w:marLeft w:val="0"/>
      <w:marRight w:val="0"/>
      <w:marTop w:val="0"/>
      <w:marBottom w:val="0"/>
      <w:divBdr>
        <w:top w:val="none" w:sz="0" w:space="0" w:color="auto"/>
        <w:left w:val="none" w:sz="0" w:space="0" w:color="auto"/>
        <w:bottom w:val="none" w:sz="0" w:space="0" w:color="auto"/>
        <w:right w:val="none" w:sz="0" w:space="0" w:color="auto"/>
      </w:divBdr>
    </w:div>
    <w:div w:id="1632711601">
      <w:bodyDiv w:val="1"/>
      <w:marLeft w:val="0"/>
      <w:marRight w:val="0"/>
      <w:marTop w:val="0"/>
      <w:marBottom w:val="0"/>
      <w:divBdr>
        <w:top w:val="none" w:sz="0" w:space="0" w:color="auto"/>
        <w:left w:val="none" w:sz="0" w:space="0" w:color="auto"/>
        <w:bottom w:val="none" w:sz="0" w:space="0" w:color="auto"/>
        <w:right w:val="none" w:sz="0" w:space="0" w:color="auto"/>
      </w:divBdr>
    </w:div>
    <w:div w:id="1635257874">
      <w:bodyDiv w:val="1"/>
      <w:marLeft w:val="0"/>
      <w:marRight w:val="0"/>
      <w:marTop w:val="0"/>
      <w:marBottom w:val="0"/>
      <w:divBdr>
        <w:top w:val="none" w:sz="0" w:space="0" w:color="auto"/>
        <w:left w:val="none" w:sz="0" w:space="0" w:color="auto"/>
        <w:bottom w:val="none" w:sz="0" w:space="0" w:color="auto"/>
        <w:right w:val="none" w:sz="0" w:space="0" w:color="auto"/>
      </w:divBdr>
      <w:divsChild>
        <w:div w:id="401877975">
          <w:marLeft w:val="0"/>
          <w:marRight w:val="0"/>
          <w:marTop w:val="0"/>
          <w:marBottom w:val="0"/>
          <w:divBdr>
            <w:top w:val="none" w:sz="0" w:space="0" w:color="auto"/>
            <w:left w:val="none" w:sz="0" w:space="0" w:color="auto"/>
            <w:bottom w:val="none" w:sz="0" w:space="0" w:color="auto"/>
            <w:right w:val="none" w:sz="0" w:space="0" w:color="auto"/>
          </w:divBdr>
          <w:divsChild>
            <w:div w:id="651519397">
              <w:marLeft w:val="0"/>
              <w:marRight w:val="0"/>
              <w:marTop w:val="0"/>
              <w:marBottom w:val="0"/>
              <w:divBdr>
                <w:top w:val="none" w:sz="0" w:space="0" w:color="auto"/>
                <w:left w:val="none" w:sz="0" w:space="0" w:color="auto"/>
                <w:bottom w:val="none" w:sz="0" w:space="0" w:color="auto"/>
                <w:right w:val="none" w:sz="0" w:space="0" w:color="auto"/>
              </w:divBdr>
              <w:divsChild>
                <w:div w:id="18591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51097">
      <w:bodyDiv w:val="1"/>
      <w:marLeft w:val="0"/>
      <w:marRight w:val="0"/>
      <w:marTop w:val="0"/>
      <w:marBottom w:val="0"/>
      <w:divBdr>
        <w:top w:val="none" w:sz="0" w:space="0" w:color="auto"/>
        <w:left w:val="none" w:sz="0" w:space="0" w:color="auto"/>
        <w:bottom w:val="none" w:sz="0" w:space="0" w:color="auto"/>
        <w:right w:val="none" w:sz="0" w:space="0" w:color="auto"/>
      </w:divBdr>
    </w:div>
    <w:div w:id="1731416904">
      <w:bodyDiv w:val="1"/>
      <w:marLeft w:val="0"/>
      <w:marRight w:val="0"/>
      <w:marTop w:val="0"/>
      <w:marBottom w:val="0"/>
      <w:divBdr>
        <w:top w:val="none" w:sz="0" w:space="0" w:color="auto"/>
        <w:left w:val="none" w:sz="0" w:space="0" w:color="auto"/>
        <w:bottom w:val="none" w:sz="0" w:space="0" w:color="auto"/>
        <w:right w:val="none" w:sz="0" w:space="0" w:color="auto"/>
      </w:divBdr>
    </w:div>
    <w:div w:id="1757901811">
      <w:bodyDiv w:val="1"/>
      <w:marLeft w:val="0"/>
      <w:marRight w:val="0"/>
      <w:marTop w:val="0"/>
      <w:marBottom w:val="0"/>
      <w:divBdr>
        <w:top w:val="none" w:sz="0" w:space="0" w:color="auto"/>
        <w:left w:val="none" w:sz="0" w:space="0" w:color="auto"/>
        <w:bottom w:val="none" w:sz="0" w:space="0" w:color="auto"/>
        <w:right w:val="none" w:sz="0" w:space="0" w:color="auto"/>
      </w:divBdr>
    </w:div>
    <w:div w:id="1758135424">
      <w:bodyDiv w:val="1"/>
      <w:marLeft w:val="0"/>
      <w:marRight w:val="0"/>
      <w:marTop w:val="0"/>
      <w:marBottom w:val="0"/>
      <w:divBdr>
        <w:top w:val="none" w:sz="0" w:space="0" w:color="auto"/>
        <w:left w:val="none" w:sz="0" w:space="0" w:color="auto"/>
        <w:bottom w:val="none" w:sz="0" w:space="0" w:color="auto"/>
        <w:right w:val="none" w:sz="0" w:space="0" w:color="auto"/>
      </w:divBdr>
    </w:div>
    <w:div w:id="1799303059">
      <w:bodyDiv w:val="1"/>
      <w:marLeft w:val="0"/>
      <w:marRight w:val="0"/>
      <w:marTop w:val="0"/>
      <w:marBottom w:val="0"/>
      <w:divBdr>
        <w:top w:val="none" w:sz="0" w:space="0" w:color="auto"/>
        <w:left w:val="none" w:sz="0" w:space="0" w:color="auto"/>
        <w:bottom w:val="none" w:sz="0" w:space="0" w:color="auto"/>
        <w:right w:val="none" w:sz="0" w:space="0" w:color="auto"/>
      </w:divBdr>
      <w:divsChild>
        <w:div w:id="1197813713">
          <w:marLeft w:val="0"/>
          <w:marRight w:val="0"/>
          <w:marTop w:val="0"/>
          <w:marBottom w:val="0"/>
          <w:divBdr>
            <w:top w:val="none" w:sz="0" w:space="0" w:color="auto"/>
            <w:left w:val="none" w:sz="0" w:space="0" w:color="auto"/>
            <w:bottom w:val="none" w:sz="0" w:space="0" w:color="auto"/>
            <w:right w:val="none" w:sz="0" w:space="0" w:color="auto"/>
          </w:divBdr>
          <w:divsChild>
            <w:div w:id="20595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106">
      <w:bodyDiv w:val="1"/>
      <w:marLeft w:val="0"/>
      <w:marRight w:val="0"/>
      <w:marTop w:val="0"/>
      <w:marBottom w:val="0"/>
      <w:divBdr>
        <w:top w:val="none" w:sz="0" w:space="0" w:color="auto"/>
        <w:left w:val="none" w:sz="0" w:space="0" w:color="auto"/>
        <w:bottom w:val="none" w:sz="0" w:space="0" w:color="auto"/>
        <w:right w:val="none" w:sz="0" w:space="0" w:color="auto"/>
      </w:divBdr>
    </w:div>
    <w:div w:id="1889488359">
      <w:bodyDiv w:val="1"/>
      <w:marLeft w:val="0"/>
      <w:marRight w:val="0"/>
      <w:marTop w:val="0"/>
      <w:marBottom w:val="0"/>
      <w:divBdr>
        <w:top w:val="none" w:sz="0" w:space="0" w:color="auto"/>
        <w:left w:val="none" w:sz="0" w:space="0" w:color="auto"/>
        <w:bottom w:val="none" w:sz="0" w:space="0" w:color="auto"/>
        <w:right w:val="none" w:sz="0" w:space="0" w:color="auto"/>
      </w:divBdr>
      <w:divsChild>
        <w:div w:id="99185188">
          <w:marLeft w:val="0"/>
          <w:marRight w:val="0"/>
          <w:marTop w:val="0"/>
          <w:marBottom w:val="0"/>
          <w:divBdr>
            <w:top w:val="none" w:sz="0" w:space="0" w:color="auto"/>
            <w:left w:val="none" w:sz="0" w:space="0" w:color="auto"/>
            <w:bottom w:val="none" w:sz="0" w:space="0" w:color="auto"/>
            <w:right w:val="none" w:sz="0" w:space="0" w:color="auto"/>
          </w:divBdr>
          <w:divsChild>
            <w:div w:id="1692948223">
              <w:marLeft w:val="0"/>
              <w:marRight w:val="0"/>
              <w:marTop w:val="0"/>
              <w:marBottom w:val="0"/>
              <w:divBdr>
                <w:top w:val="none" w:sz="0" w:space="0" w:color="auto"/>
                <w:left w:val="none" w:sz="0" w:space="0" w:color="auto"/>
                <w:bottom w:val="none" w:sz="0" w:space="0" w:color="auto"/>
                <w:right w:val="none" w:sz="0" w:space="0" w:color="auto"/>
              </w:divBdr>
              <w:divsChild>
                <w:div w:id="1242330473">
                  <w:marLeft w:val="0"/>
                  <w:marRight w:val="0"/>
                  <w:marTop w:val="0"/>
                  <w:marBottom w:val="0"/>
                  <w:divBdr>
                    <w:top w:val="none" w:sz="0" w:space="0" w:color="auto"/>
                    <w:left w:val="none" w:sz="0" w:space="0" w:color="auto"/>
                    <w:bottom w:val="none" w:sz="0" w:space="0" w:color="auto"/>
                    <w:right w:val="none" w:sz="0" w:space="0" w:color="auto"/>
                  </w:divBdr>
                  <w:divsChild>
                    <w:div w:id="14391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993">
      <w:bodyDiv w:val="1"/>
      <w:marLeft w:val="0"/>
      <w:marRight w:val="0"/>
      <w:marTop w:val="0"/>
      <w:marBottom w:val="0"/>
      <w:divBdr>
        <w:top w:val="none" w:sz="0" w:space="0" w:color="auto"/>
        <w:left w:val="none" w:sz="0" w:space="0" w:color="auto"/>
        <w:bottom w:val="none" w:sz="0" w:space="0" w:color="auto"/>
        <w:right w:val="none" w:sz="0" w:space="0" w:color="auto"/>
      </w:divBdr>
    </w:div>
    <w:div w:id="1933126947">
      <w:bodyDiv w:val="1"/>
      <w:marLeft w:val="0"/>
      <w:marRight w:val="0"/>
      <w:marTop w:val="0"/>
      <w:marBottom w:val="0"/>
      <w:divBdr>
        <w:top w:val="none" w:sz="0" w:space="0" w:color="auto"/>
        <w:left w:val="none" w:sz="0" w:space="0" w:color="auto"/>
        <w:bottom w:val="none" w:sz="0" w:space="0" w:color="auto"/>
        <w:right w:val="none" w:sz="0" w:space="0" w:color="auto"/>
      </w:divBdr>
    </w:div>
    <w:div w:id="1937399170">
      <w:bodyDiv w:val="1"/>
      <w:marLeft w:val="0"/>
      <w:marRight w:val="0"/>
      <w:marTop w:val="0"/>
      <w:marBottom w:val="0"/>
      <w:divBdr>
        <w:top w:val="none" w:sz="0" w:space="0" w:color="auto"/>
        <w:left w:val="none" w:sz="0" w:space="0" w:color="auto"/>
        <w:bottom w:val="none" w:sz="0" w:space="0" w:color="auto"/>
        <w:right w:val="none" w:sz="0" w:space="0" w:color="auto"/>
      </w:divBdr>
    </w:div>
    <w:div w:id="1944609792">
      <w:bodyDiv w:val="1"/>
      <w:marLeft w:val="0"/>
      <w:marRight w:val="0"/>
      <w:marTop w:val="0"/>
      <w:marBottom w:val="0"/>
      <w:divBdr>
        <w:top w:val="none" w:sz="0" w:space="0" w:color="auto"/>
        <w:left w:val="none" w:sz="0" w:space="0" w:color="auto"/>
        <w:bottom w:val="none" w:sz="0" w:space="0" w:color="auto"/>
        <w:right w:val="none" w:sz="0" w:space="0" w:color="auto"/>
      </w:divBdr>
    </w:div>
    <w:div w:id="2011442193">
      <w:bodyDiv w:val="1"/>
      <w:marLeft w:val="0"/>
      <w:marRight w:val="0"/>
      <w:marTop w:val="0"/>
      <w:marBottom w:val="0"/>
      <w:divBdr>
        <w:top w:val="none" w:sz="0" w:space="0" w:color="auto"/>
        <w:left w:val="none" w:sz="0" w:space="0" w:color="auto"/>
        <w:bottom w:val="none" w:sz="0" w:space="0" w:color="auto"/>
        <w:right w:val="none" w:sz="0" w:space="0" w:color="auto"/>
      </w:divBdr>
      <w:divsChild>
        <w:div w:id="470246744">
          <w:marLeft w:val="0"/>
          <w:marRight w:val="0"/>
          <w:marTop w:val="0"/>
          <w:marBottom w:val="0"/>
          <w:divBdr>
            <w:top w:val="none" w:sz="0" w:space="0" w:color="auto"/>
            <w:left w:val="none" w:sz="0" w:space="0" w:color="auto"/>
            <w:bottom w:val="none" w:sz="0" w:space="0" w:color="auto"/>
            <w:right w:val="none" w:sz="0" w:space="0" w:color="auto"/>
          </w:divBdr>
          <w:divsChild>
            <w:div w:id="554318826">
              <w:marLeft w:val="0"/>
              <w:marRight w:val="0"/>
              <w:marTop w:val="0"/>
              <w:marBottom w:val="0"/>
              <w:divBdr>
                <w:top w:val="none" w:sz="0" w:space="0" w:color="auto"/>
                <w:left w:val="none" w:sz="0" w:space="0" w:color="auto"/>
                <w:bottom w:val="none" w:sz="0" w:space="0" w:color="auto"/>
                <w:right w:val="none" w:sz="0" w:space="0" w:color="auto"/>
              </w:divBdr>
              <w:divsChild>
                <w:div w:id="16036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02078">
      <w:bodyDiv w:val="1"/>
      <w:marLeft w:val="0"/>
      <w:marRight w:val="0"/>
      <w:marTop w:val="0"/>
      <w:marBottom w:val="0"/>
      <w:divBdr>
        <w:top w:val="none" w:sz="0" w:space="0" w:color="auto"/>
        <w:left w:val="none" w:sz="0" w:space="0" w:color="auto"/>
        <w:bottom w:val="none" w:sz="0" w:space="0" w:color="auto"/>
        <w:right w:val="none" w:sz="0" w:space="0" w:color="auto"/>
      </w:divBdr>
    </w:div>
    <w:div w:id="2075815146">
      <w:bodyDiv w:val="1"/>
      <w:marLeft w:val="0"/>
      <w:marRight w:val="0"/>
      <w:marTop w:val="0"/>
      <w:marBottom w:val="0"/>
      <w:divBdr>
        <w:top w:val="none" w:sz="0" w:space="0" w:color="auto"/>
        <w:left w:val="none" w:sz="0" w:space="0" w:color="auto"/>
        <w:bottom w:val="none" w:sz="0" w:space="0" w:color="auto"/>
        <w:right w:val="none" w:sz="0" w:space="0" w:color="auto"/>
      </w:divBdr>
      <w:divsChild>
        <w:div w:id="1382830626">
          <w:marLeft w:val="0"/>
          <w:marRight w:val="0"/>
          <w:marTop w:val="0"/>
          <w:marBottom w:val="0"/>
          <w:divBdr>
            <w:top w:val="none" w:sz="0" w:space="0" w:color="auto"/>
            <w:left w:val="none" w:sz="0" w:space="0" w:color="auto"/>
            <w:bottom w:val="none" w:sz="0" w:space="0" w:color="auto"/>
            <w:right w:val="none" w:sz="0" w:space="0" w:color="auto"/>
          </w:divBdr>
          <w:divsChild>
            <w:div w:id="618950649">
              <w:marLeft w:val="0"/>
              <w:marRight w:val="0"/>
              <w:marTop w:val="0"/>
              <w:marBottom w:val="0"/>
              <w:divBdr>
                <w:top w:val="none" w:sz="0" w:space="0" w:color="auto"/>
                <w:left w:val="none" w:sz="0" w:space="0" w:color="auto"/>
                <w:bottom w:val="none" w:sz="0" w:space="0" w:color="auto"/>
                <w:right w:val="none" w:sz="0" w:space="0" w:color="auto"/>
              </w:divBdr>
              <w:divsChild>
                <w:div w:id="18119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3300">
      <w:bodyDiv w:val="1"/>
      <w:marLeft w:val="0"/>
      <w:marRight w:val="0"/>
      <w:marTop w:val="0"/>
      <w:marBottom w:val="0"/>
      <w:divBdr>
        <w:top w:val="none" w:sz="0" w:space="0" w:color="auto"/>
        <w:left w:val="none" w:sz="0" w:space="0" w:color="auto"/>
        <w:bottom w:val="none" w:sz="0" w:space="0" w:color="auto"/>
        <w:right w:val="none" w:sz="0" w:space="0" w:color="auto"/>
      </w:divBdr>
      <w:divsChild>
        <w:div w:id="488250340">
          <w:marLeft w:val="0"/>
          <w:marRight w:val="0"/>
          <w:marTop w:val="0"/>
          <w:marBottom w:val="0"/>
          <w:divBdr>
            <w:top w:val="none" w:sz="0" w:space="0" w:color="auto"/>
            <w:left w:val="none" w:sz="0" w:space="0" w:color="auto"/>
            <w:bottom w:val="none" w:sz="0" w:space="0" w:color="auto"/>
            <w:right w:val="none" w:sz="0" w:space="0" w:color="auto"/>
          </w:divBdr>
          <w:divsChild>
            <w:div w:id="740059621">
              <w:marLeft w:val="0"/>
              <w:marRight w:val="0"/>
              <w:marTop w:val="0"/>
              <w:marBottom w:val="0"/>
              <w:divBdr>
                <w:top w:val="none" w:sz="0" w:space="0" w:color="auto"/>
                <w:left w:val="none" w:sz="0" w:space="0" w:color="auto"/>
                <w:bottom w:val="none" w:sz="0" w:space="0" w:color="auto"/>
                <w:right w:val="none" w:sz="0" w:space="0" w:color="auto"/>
              </w:divBdr>
              <w:divsChild>
                <w:div w:id="2127380552">
                  <w:marLeft w:val="0"/>
                  <w:marRight w:val="0"/>
                  <w:marTop w:val="0"/>
                  <w:marBottom w:val="0"/>
                  <w:divBdr>
                    <w:top w:val="none" w:sz="0" w:space="0" w:color="auto"/>
                    <w:left w:val="none" w:sz="0" w:space="0" w:color="auto"/>
                    <w:bottom w:val="none" w:sz="0" w:space="0" w:color="auto"/>
                    <w:right w:val="none" w:sz="0" w:space="0" w:color="auto"/>
                  </w:divBdr>
                  <w:divsChild>
                    <w:div w:id="17324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0D93E-D15F-8D4E-9A65-0A9D19F1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11303</Words>
  <Characters>64428</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Winters, Andrew C</dc:creator>
  <cp:keywords/>
  <dc:description/>
  <cp:lastModifiedBy>Winters, Andrew C</cp:lastModifiedBy>
  <cp:revision>2</cp:revision>
  <cp:lastPrinted>2019-07-25T14:22:00Z</cp:lastPrinted>
  <dcterms:created xsi:type="dcterms:W3CDTF">2020-07-21T17:16:00Z</dcterms:created>
  <dcterms:modified xsi:type="dcterms:W3CDTF">2020-07-21T17:16:00Z</dcterms:modified>
</cp:coreProperties>
</file>