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895EB02" w14:textId="2B220A8D" w:rsidR="004D6A84" w:rsidRPr="00BD0BD4" w:rsidRDefault="00BF0545" w:rsidP="005E1D88">
      <w:pPr>
        <w:jc w:val="center"/>
        <w:rPr>
          <w:rFonts w:ascii="Times New Roman" w:hAnsi="Times New Roman" w:cs="Times New Roman"/>
          <w:b/>
        </w:rPr>
      </w:pPr>
      <w:r>
        <w:rPr>
          <w:rFonts w:ascii="Times New Roman" w:hAnsi="Times New Roman" w:cs="Times New Roman"/>
          <w:b/>
        </w:rPr>
        <w:t xml:space="preserve">Upper-tropospheric </w:t>
      </w:r>
      <w:r w:rsidR="005E1D88">
        <w:rPr>
          <w:rFonts w:ascii="Times New Roman" w:hAnsi="Times New Roman" w:cs="Times New Roman"/>
          <w:b/>
        </w:rPr>
        <w:t xml:space="preserve">Precursors to the </w:t>
      </w:r>
      <w:r w:rsidR="009418C8">
        <w:rPr>
          <w:rFonts w:ascii="Times New Roman" w:hAnsi="Times New Roman" w:cs="Times New Roman"/>
          <w:b/>
        </w:rPr>
        <w:t xml:space="preserve">Formation of </w:t>
      </w:r>
      <w:r>
        <w:rPr>
          <w:rFonts w:ascii="Times New Roman" w:hAnsi="Times New Roman" w:cs="Times New Roman"/>
          <w:b/>
        </w:rPr>
        <w:t>S</w:t>
      </w:r>
      <w:r w:rsidR="00C43F7F" w:rsidRPr="00BD0BD4">
        <w:rPr>
          <w:rFonts w:ascii="Times New Roman" w:hAnsi="Times New Roman" w:cs="Times New Roman"/>
          <w:b/>
        </w:rPr>
        <w:t xml:space="preserve">ubtropical </w:t>
      </w:r>
      <w:r>
        <w:rPr>
          <w:rFonts w:ascii="Times New Roman" w:hAnsi="Times New Roman" w:cs="Times New Roman"/>
          <w:b/>
        </w:rPr>
        <w:t>C</w:t>
      </w:r>
      <w:r w:rsidR="00C43F7F" w:rsidRPr="00BD0BD4">
        <w:rPr>
          <w:rFonts w:ascii="Times New Roman" w:hAnsi="Times New Roman" w:cs="Times New Roman"/>
          <w:b/>
        </w:rPr>
        <w:t>yclones</w:t>
      </w:r>
      <w:r w:rsidR="009418C8">
        <w:rPr>
          <w:rFonts w:ascii="Times New Roman" w:hAnsi="Times New Roman" w:cs="Times New Roman"/>
          <w:b/>
        </w:rPr>
        <w:t xml:space="preserve"> </w:t>
      </w:r>
      <w:r w:rsidR="005E1D88">
        <w:rPr>
          <w:rFonts w:ascii="Times New Roman" w:hAnsi="Times New Roman" w:cs="Times New Roman"/>
          <w:b/>
        </w:rPr>
        <w:br/>
      </w:r>
      <w:r>
        <w:rPr>
          <w:rFonts w:ascii="Times New Roman" w:hAnsi="Times New Roman" w:cs="Times New Roman"/>
          <w:b/>
        </w:rPr>
        <w:t>that Undergo Tropical Transition</w:t>
      </w:r>
      <w:r w:rsidR="00C43F7F" w:rsidRPr="00BD0BD4">
        <w:rPr>
          <w:rFonts w:ascii="Times New Roman" w:hAnsi="Times New Roman" w:cs="Times New Roman"/>
          <w:b/>
        </w:rPr>
        <w:t xml:space="preserve"> </w:t>
      </w:r>
      <w:r w:rsidR="004D6A84" w:rsidRPr="00BD0BD4">
        <w:rPr>
          <w:rFonts w:ascii="Times New Roman" w:hAnsi="Times New Roman" w:cs="Times New Roman"/>
          <w:b/>
        </w:rPr>
        <w:t xml:space="preserve">in the North Atlantic </w:t>
      </w:r>
      <w:r>
        <w:rPr>
          <w:rFonts w:ascii="Times New Roman" w:hAnsi="Times New Roman" w:cs="Times New Roman"/>
          <w:b/>
        </w:rPr>
        <w:t>B</w:t>
      </w:r>
      <w:r w:rsidR="004D6A84" w:rsidRPr="00BD0BD4">
        <w:rPr>
          <w:rFonts w:ascii="Times New Roman" w:hAnsi="Times New Roman" w:cs="Times New Roman"/>
          <w:b/>
        </w:rPr>
        <w:t>asin</w:t>
      </w:r>
    </w:p>
    <w:p w14:paraId="481E5856" w14:textId="77777777" w:rsidR="00BD0BD4" w:rsidRPr="00BD0BD4" w:rsidRDefault="00BD0BD4" w:rsidP="004D6A84">
      <w:pPr>
        <w:jc w:val="center"/>
        <w:rPr>
          <w:rFonts w:ascii="Times New Roman" w:hAnsi="Times New Roman" w:cs="Times New Roman"/>
          <w:sz w:val="16"/>
          <w:szCs w:val="16"/>
        </w:rPr>
      </w:pPr>
    </w:p>
    <w:p w14:paraId="4F2FB1B5" w14:textId="1BBB20BA" w:rsidR="00BD0BD4" w:rsidRDefault="00BD0BD4" w:rsidP="004D6A84">
      <w:pPr>
        <w:jc w:val="center"/>
        <w:rPr>
          <w:rFonts w:ascii="Times New Roman" w:hAnsi="Times New Roman" w:cs="Times New Roman"/>
        </w:rPr>
      </w:pPr>
      <w:r>
        <w:rPr>
          <w:rFonts w:ascii="Times New Roman" w:hAnsi="Times New Roman" w:cs="Times New Roman"/>
        </w:rPr>
        <w:t>Alicia M. Bentley, Lance F. Bosart</w:t>
      </w:r>
      <w:r w:rsidR="00DE4984">
        <w:rPr>
          <w:rFonts w:ascii="Times New Roman" w:hAnsi="Times New Roman" w:cs="Times New Roman"/>
        </w:rPr>
        <w:t>, and Daniel Keyser</w:t>
      </w:r>
    </w:p>
    <w:p w14:paraId="564475BA" w14:textId="77777777" w:rsidR="00BD0BD4" w:rsidRPr="00BD0BD4" w:rsidRDefault="00BD0BD4" w:rsidP="004D6A84">
      <w:pPr>
        <w:jc w:val="center"/>
        <w:rPr>
          <w:rFonts w:ascii="Times New Roman" w:hAnsi="Times New Roman" w:cs="Times New Roman"/>
          <w:sz w:val="16"/>
          <w:szCs w:val="16"/>
        </w:rPr>
      </w:pPr>
    </w:p>
    <w:p w14:paraId="5ADB53BF" w14:textId="54A2742F" w:rsidR="00BD0BD4" w:rsidRPr="00BD0BD4" w:rsidRDefault="00BD0BD4" w:rsidP="004D6A84">
      <w:pPr>
        <w:jc w:val="center"/>
        <w:rPr>
          <w:rFonts w:ascii="Times New Roman" w:hAnsi="Times New Roman" w:cs="Times New Roman"/>
          <w:i/>
        </w:rPr>
      </w:pPr>
      <w:r w:rsidRPr="00BD0BD4">
        <w:rPr>
          <w:rFonts w:ascii="Times New Roman" w:hAnsi="Times New Roman" w:cs="Times New Roman"/>
          <w:i/>
        </w:rPr>
        <w:t>Department of Atmospheric and Environmental Sciences, University at Albany,</w:t>
      </w:r>
    </w:p>
    <w:p w14:paraId="72FCBC3C" w14:textId="5D1E38BE" w:rsidR="00BD0BD4" w:rsidRDefault="00BD0BD4" w:rsidP="00BD0BD4">
      <w:pPr>
        <w:jc w:val="center"/>
        <w:rPr>
          <w:rFonts w:ascii="Times New Roman" w:hAnsi="Times New Roman" w:cs="Times New Roman"/>
          <w:i/>
        </w:rPr>
      </w:pPr>
      <w:r w:rsidRPr="00BD0BD4">
        <w:rPr>
          <w:rFonts w:ascii="Times New Roman" w:hAnsi="Times New Roman" w:cs="Times New Roman"/>
          <w:i/>
        </w:rPr>
        <w:t>State University of New York, Albany, New York</w:t>
      </w:r>
    </w:p>
    <w:p w14:paraId="50B64556" w14:textId="77777777" w:rsidR="00DE4984" w:rsidRPr="00BD0BD4" w:rsidRDefault="00DE4984" w:rsidP="00BD0BD4">
      <w:pPr>
        <w:jc w:val="center"/>
        <w:rPr>
          <w:rFonts w:ascii="Times New Roman" w:hAnsi="Times New Roman" w:cs="Times New Roman"/>
          <w:i/>
        </w:rPr>
      </w:pPr>
    </w:p>
    <w:p w14:paraId="2CB2D2F8" w14:textId="77777777" w:rsidR="005B5F4D" w:rsidRPr="00274A7F" w:rsidRDefault="004D6A84" w:rsidP="005B5F4D">
      <w:pPr>
        <w:pStyle w:val="ListParagraph"/>
        <w:numPr>
          <w:ilvl w:val="0"/>
          <w:numId w:val="13"/>
        </w:numPr>
        <w:spacing w:line="360" w:lineRule="auto"/>
        <w:ind w:left="360"/>
        <w:rPr>
          <w:rFonts w:ascii="Times New Roman" w:hAnsi="Times New Roman" w:cs="Times New Roman"/>
          <w:b/>
          <w:color w:val="000000" w:themeColor="text1"/>
        </w:rPr>
      </w:pPr>
      <w:r w:rsidRPr="00274A7F">
        <w:rPr>
          <w:rFonts w:ascii="Times New Roman" w:hAnsi="Times New Roman" w:cs="Times New Roman"/>
          <w:b/>
          <w:color w:val="000000" w:themeColor="text1"/>
        </w:rPr>
        <w:t>Introduction</w:t>
      </w:r>
      <w:r w:rsidR="003D5124" w:rsidRPr="00274A7F">
        <w:rPr>
          <w:rFonts w:ascii="Times New Roman" w:hAnsi="Times New Roman" w:cs="Times New Roman"/>
          <w:b/>
          <w:color w:val="000000" w:themeColor="text1"/>
        </w:rPr>
        <w:t xml:space="preserve"> </w:t>
      </w:r>
    </w:p>
    <w:p w14:paraId="713E462D" w14:textId="79CFC256" w:rsidR="001C453C" w:rsidRDefault="009A0578" w:rsidP="00A75249">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See Galarneau et al. (2015)</w:t>
      </w:r>
      <w:r w:rsidR="001C453C" w:rsidRPr="001C453C">
        <w:rPr>
          <w:rFonts w:ascii="Times New Roman" w:hAnsi="Times New Roman" w:cs="Times New Roman"/>
          <w:color w:val="000000" w:themeColor="text1"/>
        </w:rPr>
        <w:t xml:space="preserve"> </w:t>
      </w:r>
      <w:r w:rsidR="001C453C">
        <w:rPr>
          <w:rFonts w:ascii="Times New Roman" w:hAnsi="Times New Roman" w:cs="Times New Roman"/>
          <w:color w:val="000000" w:themeColor="text1"/>
        </w:rPr>
        <w:t>introductions</w:t>
      </w:r>
      <w:r w:rsidR="002D44CE">
        <w:rPr>
          <w:rFonts w:ascii="Times New Roman" w:hAnsi="Times New Roman" w:cs="Times New Roman"/>
          <w:color w:val="000000" w:themeColor="text1"/>
        </w:rPr>
        <w:t xml:space="preserve"> </w:t>
      </w:r>
    </w:p>
    <w:p w14:paraId="317A77FA" w14:textId="116EC301" w:rsidR="00EB77AC" w:rsidRDefault="002D44CE" w:rsidP="00A75249">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See </w:t>
      </w:r>
      <w:r w:rsidR="009A0578">
        <w:rPr>
          <w:rFonts w:ascii="Times New Roman" w:hAnsi="Times New Roman" w:cs="Times New Roman"/>
          <w:color w:val="000000" w:themeColor="text1"/>
        </w:rPr>
        <w:t>Zhang et al. (2016) introductions</w:t>
      </w:r>
    </w:p>
    <w:p w14:paraId="69DFFA5F" w14:textId="63B31BBA" w:rsidR="009A0578" w:rsidRDefault="000E4BED" w:rsidP="00A75249">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See </w:t>
      </w:r>
      <w:r w:rsidR="009A0578">
        <w:rPr>
          <w:rFonts w:ascii="Times New Roman" w:hAnsi="Times New Roman" w:cs="Times New Roman"/>
          <w:color w:val="000000" w:themeColor="text1"/>
        </w:rPr>
        <w:t>McTaggart-Cowan et al. (2013)</w:t>
      </w:r>
      <w:r>
        <w:rPr>
          <w:rFonts w:ascii="Times New Roman" w:hAnsi="Times New Roman" w:cs="Times New Roman"/>
          <w:color w:val="000000" w:themeColor="text1"/>
        </w:rPr>
        <w:t xml:space="preserve"> introductions</w:t>
      </w:r>
    </w:p>
    <w:p w14:paraId="635784CC" w14:textId="77777777" w:rsidR="000E4BED" w:rsidRDefault="000E4BED" w:rsidP="000E4BED">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See Bracken and Bosart (2000) </w:t>
      </w:r>
    </w:p>
    <w:p w14:paraId="11C77523" w14:textId="2CDDE88B" w:rsidR="000E4BED" w:rsidRPr="000E4BED" w:rsidRDefault="000E4BED" w:rsidP="000E4BED">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Cite other STC papers that did composites and state how these differ from ours</w:t>
      </w:r>
    </w:p>
    <w:p w14:paraId="29E45FE7" w14:textId="77777777" w:rsidR="005B5F4D" w:rsidRPr="00274A7F" w:rsidRDefault="005B5F4D" w:rsidP="005B5F4D">
      <w:pPr>
        <w:pStyle w:val="ListParagraph"/>
        <w:spacing w:line="360" w:lineRule="auto"/>
        <w:jc w:val="both"/>
        <w:rPr>
          <w:rFonts w:ascii="Times New Roman" w:hAnsi="Times New Roman" w:cs="Times New Roman"/>
          <w:color w:val="000000" w:themeColor="text1"/>
        </w:rPr>
      </w:pPr>
    </w:p>
    <w:p w14:paraId="40B23731" w14:textId="48268B6E" w:rsidR="00825199" w:rsidRPr="00274A7F" w:rsidRDefault="00825199" w:rsidP="005B5F4D">
      <w:pPr>
        <w:pStyle w:val="ListParagraph"/>
        <w:numPr>
          <w:ilvl w:val="0"/>
          <w:numId w:val="13"/>
        </w:numPr>
        <w:spacing w:line="360" w:lineRule="auto"/>
        <w:ind w:left="360"/>
        <w:rPr>
          <w:rFonts w:ascii="Times New Roman" w:hAnsi="Times New Roman" w:cs="Times New Roman"/>
          <w:b/>
          <w:color w:val="000000" w:themeColor="text1"/>
        </w:rPr>
      </w:pPr>
      <w:r w:rsidRPr="00274A7F">
        <w:rPr>
          <w:rFonts w:ascii="Times New Roman" w:hAnsi="Times New Roman" w:cs="Times New Roman"/>
          <w:b/>
          <w:color w:val="000000" w:themeColor="text1"/>
        </w:rPr>
        <w:t>Data and methodology</w:t>
      </w:r>
    </w:p>
    <w:p w14:paraId="5DB99C0C" w14:textId="1412AD88" w:rsidR="005B5F4D" w:rsidRPr="00274A7F" w:rsidRDefault="008659B3" w:rsidP="005B5F4D">
      <w:pPr>
        <w:pStyle w:val="ListParagraph"/>
        <w:numPr>
          <w:ilvl w:val="1"/>
          <w:numId w:val="13"/>
        </w:numPr>
        <w:spacing w:line="360" w:lineRule="auto"/>
        <w:rPr>
          <w:rFonts w:ascii="Times New Roman" w:hAnsi="Times New Roman" w:cs="Times New Roman"/>
          <w:i/>
          <w:color w:val="000000" w:themeColor="text1"/>
        </w:rPr>
      </w:pPr>
      <w:r>
        <w:rPr>
          <w:rFonts w:ascii="Times New Roman" w:hAnsi="Times New Roman" w:cs="Times New Roman"/>
          <w:i/>
          <w:color w:val="000000" w:themeColor="text1"/>
        </w:rPr>
        <w:t>Categorization</w:t>
      </w:r>
      <w:r w:rsidR="00BF0545" w:rsidRPr="00274A7F">
        <w:rPr>
          <w:rFonts w:ascii="Times New Roman" w:hAnsi="Times New Roman" w:cs="Times New Roman"/>
          <w:i/>
          <w:color w:val="000000" w:themeColor="text1"/>
        </w:rPr>
        <w:t xml:space="preserve"> of </w:t>
      </w:r>
      <w:r w:rsidR="00E1597B">
        <w:rPr>
          <w:rFonts w:ascii="Times New Roman" w:hAnsi="Times New Roman" w:cs="Times New Roman"/>
          <w:i/>
          <w:color w:val="000000" w:themeColor="text1"/>
        </w:rPr>
        <w:t xml:space="preserve">NATL </w:t>
      </w:r>
      <w:r w:rsidR="00031360">
        <w:rPr>
          <w:rFonts w:ascii="Times New Roman" w:hAnsi="Times New Roman" w:cs="Times New Roman"/>
          <w:i/>
          <w:color w:val="000000" w:themeColor="text1"/>
        </w:rPr>
        <w:t>STCs</w:t>
      </w:r>
      <w:r w:rsidR="007D318A">
        <w:rPr>
          <w:rFonts w:ascii="Times New Roman" w:hAnsi="Times New Roman" w:cs="Times New Roman"/>
          <w:i/>
          <w:color w:val="000000" w:themeColor="text1"/>
        </w:rPr>
        <w:t xml:space="preserve"> that undergo TT</w:t>
      </w:r>
    </w:p>
    <w:p w14:paraId="5650B1B4" w14:textId="5B51BBAD" w:rsidR="009038D2" w:rsidRDefault="009A0578" w:rsidP="009038D2">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In order to examine the upper-tropospheric precursors to the formation of NATL STCs that undergo TT, </w:t>
      </w:r>
      <w:r w:rsidR="00936B16">
        <w:rPr>
          <w:rFonts w:ascii="Times New Roman" w:hAnsi="Times New Roman" w:cs="Times New Roman"/>
          <w:color w:val="000000" w:themeColor="text1"/>
        </w:rPr>
        <w:t>all</w:t>
      </w:r>
      <w:r>
        <w:rPr>
          <w:rFonts w:ascii="Times New Roman" w:hAnsi="Times New Roman" w:cs="Times New Roman"/>
          <w:color w:val="000000" w:themeColor="text1"/>
        </w:rPr>
        <w:t xml:space="preserve"> 62 NATL STCs that undergo TT identified</w:t>
      </w:r>
      <w:r w:rsidR="00EF1DE8">
        <w:rPr>
          <w:rFonts w:ascii="Times New Roman" w:hAnsi="Times New Roman" w:cs="Times New Roman"/>
          <w:color w:val="000000" w:themeColor="text1"/>
        </w:rPr>
        <w:t xml:space="preserve"> during 1979</w:t>
      </w:r>
      <w:r w:rsidR="00EF1DE8" w:rsidRPr="002C7B32">
        <w:rPr>
          <w:rFonts w:ascii="Times New Roman" w:hAnsi="Times New Roman" w:cs="Times New Roman"/>
        </w:rPr>
        <w:t>–</w:t>
      </w:r>
      <w:r w:rsidR="00EF1DE8">
        <w:rPr>
          <w:rFonts w:ascii="Times New Roman" w:hAnsi="Times New Roman" w:cs="Times New Roman"/>
        </w:rPr>
        <w:t xml:space="preserve">2010 </w:t>
      </w:r>
      <w:r w:rsidR="002833E7">
        <w:rPr>
          <w:rFonts w:ascii="Times New Roman" w:hAnsi="Times New Roman" w:cs="Times New Roman"/>
        </w:rPr>
        <w:t xml:space="preserve">from </w:t>
      </w:r>
      <w:r w:rsidR="002833E7">
        <w:rPr>
          <w:rFonts w:ascii="Times New Roman" w:hAnsi="Times New Roman" w:cs="Times New Roman"/>
          <w:color w:val="000000" w:themeColor="text1"/>
        </w:rPr>
        <w:t xml:space="preserve">the </w:t>
      </w:r>
      <w:r w:rsidR="002833E7" w:rsidRPr="00D55B42">
        <w:rPr>
          <w:rFonts w:ascii="Times New Roman" w:hAnsi="Times New Roman" w:cs="Times New Roman"/>
          <w:color w:val="0000FF"/>
        </w:rPr>
        <w:t>McTaggart-Cowan et al. (2013)</w:t>
      </w:r>
      <w:r w:rsidR="002833E7">
        <w:rPr>
          <w:rFonts w:ascii="Times New Roman" w:hAnsi="Times New Roman" w:cs="Times New Roman"/>
          <w:color w:val="0000FF"/>
        </w:rPr>
        <w:t xml:space="preserve"> </w:t>
      </w:r>
      <w:r w:rsidR="002833E7">
        <w:rPr>
          <w:rFonts w:ascii="Times New Roman" w:hAnsi="Times New Roman" w:cs="Times New Roman"/>
        </w:rPr>
        <w:t xml:space="preserve">global climatology of baroclinically influenced tropical cyclogenesis </w:t>
      </w:r>
      <w:r>
        <w:rPr>
          <w:rFonts w:ascii="Times New Roman" w:hAnsi="Times New Roman" w:cs="Times New Roman"/>
          <w:color w:val="000000" w:themeColor="text1"/>
        </w:rPr>
        <w:t xml:space="preserve">by </w:t>
      </w:r>
      <w:r w:rsidRPr="00A75249">
        <w:rPr>
          <w:rFonts w:ascii="Times New Roman" w:hAnsi="Times New Roman" w:cs="Times New Roman"/>
          <w:color w:val="0000FF"/>
        </w:rPr>
        <w:t>Bentley et al. (2016)</w:t>
      </w:r>
      <w:r w:rsidR="00EF1DE8">
        <w:rPr>
          <w:rFonts w:ascii="Times New Roman" w:hAnsi="Times New Roman" w:cs="Times New Roman"/>
          <w:color w:val="0000FF"/>
        </w:rPr>
        <w:t xml:space="preserve"> </w:t>
      </w:r>
      <w:r w:rsidR="002833E7">
        <w:rPr>
          <w:rFonts w:ascii="Times New Roman" w:hAnsi="Times New Roman" w:cs="Times New Roman"/>
        </w:rPr>
        <w:t>are</w:t>
      </w:r>
      <w:r w:rsidR="00EF1DE8" w:rsidRPr="00EF1DE8">
        <w:rPr>
          <w:rFonts w:ascii="Times New Roman" w:hAnsi="Times New Roman" w:cs="Times New Roman"/>
        </w:rPr>
        <w:t xml:space="preserve"> </w:t>
      </w:r>
      <w:r w:rsidR="0064790B">
        <w:rPr>
          <w:rFonts w:ascii="Times New Roman" w:hAnsi="Times New Roman" w:cs="Times New Roman"/>
          <w:color w:val="000000" w:themeColor="text1"/>
        </w:rPr>
        <w:t xml:space="preserve">subjectively </w:t>
      </w:r>
      <w:r w:rsidR="008F57FC">
        <w:rPr>
          <w:rFonts w:ascii="Times New Roman" w:hAnsi="Times New Roman" w:cs="Times New Roman"/>
          <w:color w:val="000000" w:themeColor="text1"/>
        </w:rPr>
        <w:t xml:space="preserve">separated into </w:t>
      </w:r>
      <w:r w:rsidR="00132825">
        <w:rPr>
          <w:rFonts w:ascii="Times New Roman" w:hAnsi="Times New Roman" w:cs="Times New Roman"/>
          <w:color w:val="000000" w:themeColor="text1"/>
        </w:rPr>
        <w:t>categories</w:t>
      </w:r>
      <w:r w:rsidR="00EF1DE8">
        <w:rPr>
          <w:rFonts w:ascii="Times New Roman" w:hAnsi="Times New Roman" w:cs="Times New Roman"/>
          <w:color w:val="000000" w:themeColor="text1"/>
        </w:rPr>
        <w:t xml:space="preserve"> </w:t>
      </w:r>
      <w:r w:rsidR="007654EB">
        <w:rPr>
          <w:rFonts w:ascii="Times New Roman" w:hAnsi="Times New Roman" w:cs="Times New Roman"/>
          <w:color w:val="000000" w:themeColor="text1"/>
        </w:rPr>
        <w:t>according to</w:t>
      </w:r>
      <w:r w:rsidR="009A3F4B">
        <w:rPr>
          <w:rFonts w:ascii="Times New Roman" w:hAnsi="Times New Roman" w:cs="Times New Roman"/>
          <w:color w:val="000000" w:themeColor="text1"/>
        </w:rPr>
        <w:t xml:space="preserve"> the upper-tropospheric </w:t>
      </w:r>
      <w:r w:rsidR="00707069">
        <w:rPr>
          <w:rFonts w:ascii="Times New Roman" w:hAnsi="Times New Roman" w:cs="Times New Roman"/>
          <w:color w:val="000000" w:themeColor="text1"/>
        </w:rPr>
        <w:t>feature</w:t>
      </w:r>
      <w:r w:rsidR="009A3F4B">
        <w:rPr>
          <w:rFonts w:ascii="Times New Roman" w:hAnsi="Times New Roman" w:cs="Times New Roman"/>
          <w:color w:val="000000" w:themeColor="text1"/>
        </w:rPr>
        <w:t xml:space="preserve"> associated with </w:t>
      </w:r>
      <w:r w:rsidR="001C453C">
        <w:rPr>
          <w:rFonts w:ascii="Times New Roman" w:hAnsi="Times New Roman" w:cs="Times New Roman"/>
          <w:color w:val="000000" w:themeColor="text1"/>
        </w:rPr>
        <w:t>their</w:t>
      </w:r>
      <w:r w:rsidR="009A3F4B">
        <w:rPr>
          <w:rFonts w:ascii="Times New Roman" w:hAnsi="Times New Roman" w:cs="Times New Roman"/>
          <w:color w:val="000000" w:themeColor="text1"/>
        </w:rPr>
        <w:t xml:space="preserve"> formation </w:t>
      </w:r>
      <w:r w:rsidR="00EF1DE8">
        <w:rPr>
          <w:rFonts w:ascii="Times New Roman" w:hAnsi="Times New Roman" w:cs="Times New Roman"/>
          <w:color w:val="000000" w:themeColor="text1"/>
        </w:rPr>
        <w:t>and composited</w:t>
      </w:r>
      <w:r>
        <w:rPr>
          <w:rFonts w:ascii="Times New Roman" w:hAnsi="Times New Roman" w:cs="Times New Roman"/>
          <w:color w:val="000000" w:themeColor="text1"/>
        </w:rPr>
        <w:t>.</w:t>
      </w:r>
    </w:p>
    <w:p w14:paraId="56DF1193" w14:textId="5F5AAF8D" w:rsidR="007C1D23" w:rsidRDefault="0064790B" w:rsidP="0064790B">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All </w:t>
      </w:r>
      <w:r w:rsidR="00F3136F" w:rsidRPr="0064790B">
        <w:rPr>
          <w:rFonts w:ascii="Times New Roman" w:hAnsi="Times New Roman" w:cs="Times New Roman"/>
          <w:color w:val="000000" w:themeColor="text1"/>
        </w:rPr>
        <w:t xml:space="preserve">NATL STCs </w:t>
      </w:r>
      <w:r>
        <w:rPr>
          <w:rFonts w:ascii="Times New Roman" w:hAnsi="Times New Roman" w:cs="Times New Roman"/>
          <w:color w:val="000000" w:themeColor="text1"/>
        </w:rPr>
        <w:t xml:space="preserve">that undergo TT </w:t>
      </w:r>
      <w:r w:rsidR="00F3136F" w:rsidRPr="0064790B">
        <w:rPr>
          <w:rFonts w:ascii="Times New Roman" w:hAnsi="Times New Roman" w:cs="Times New Roman"/>
          <w:color w:val="000000" w:themeColor="text1"/>
        </w:rPr>
        <w:t>are required to form in the presence of a</w:t>
      </w:r>
      <w:r w:rsidR="00673328" w:rsidRPr="0064790B">
        <w:rPr>
          <w:rFonts w:ascii="Times New Roman" w:hAnsi="Times New Roman" w:cs="Times New Roman"/>
          <w:color w:val="000000" w:themeColor="text1"/>
        </w:rPr>
        <w:t xml:space="preserve"> cold-core upper-tropospheric </w:t>
      </w:r>
      <w:r w:rsidR="00936B16">
        <w:rPr>
          <w:rFonts w:ascii="Times New Roman" w:hAnsi="Times New Roman" w:cs="Times New Roman"/>
          <w:color w:val="000000" w:themeColor="text1"/>
        </w:rPr>
        <w:t>disturbance</w:t>
      </w:r>
      <w:r w:rsidR="00F3136F" w:rsidRPr="0064790B">
        <w:rPr>
          <w:rFonts w:ascii="Times New Roman" w:hAnsi="Times New Roman" w:cs="Times New Roman"/>
          <w:color w:val="000000" w:themeColor="text1"/>
        </w:rPr>
        <w:t xml:space="preserve"> </w:t>
      </w:r>
      <w:r w:rsidR="002833E7">
        <w:rPr>
          <w:rFonts w:ascii="Times New Roman" w:hAnsi="Times New Roman" w:cs="Times New Roman"/>
          <w:color w:val="000000" w:themeColor="text1"/>
        </w:rPr>
        <w:t xml:space="preserve">and be </w:t>
      </w:r>
      <w:r w:rsidR="002833E7" w:rsidRPr="00F3136F">
        <w:rPr>
          <w:rFonts w:ascii="Times New Roman" w:hAnsi="Times New Roman" w:cs="Times New Roman"/>
          <w:color w:val="000000" w:themeColor="text1"/>
        </w:rPr>
        <w:t>classified as TCs in the International</w:t>
      </w:r>
      <w:r w:rsidR="002833E7">
        <w:rPr>
          <w:rFonts w:ascii="Times New Roman" w:hAnsi="Times New Roman" w:cs="Times New Roman"/>
        </w:rPr>
        <w:t xml:space="preserve"> Best Track Archive for Climate Stewardship (IBTrACS) dataset (</w:t>
      </w:r>
      <w:r w:rsidR="002833E7" w:rsidRPr="007F23FA">
        <w:rPr>
          <w:rFonts w:ascii="Times New Roman" w:hAnsi="Times New Roman" w:cs="Times New Roman"/>
          <w:color w:val="0000FF"/>
        </w:rPr>
        <w:t>Knapp et al. 2010</w:t>
      </w:r>
      <w:r w:rsidR="002833E7">
        <w:rPr>
          <w:rFonts w:ascii="Times New Roman" w:hAnsi="Times New Roman" w:cs="Times New Roman"/>
        </w:rPr>
        <w:t xml:space="preserve">) </w:t>
      </w:r>
      <w:r w:rsidR="002833E7" w:rsidRPr="00A86AA0">
        <w:rPr>
          <w:rFonts w:ascii="Times New Roman" w:hAnsi="Times New Roman" w:cs="Times New Roman"/>
          <w:color w:val="000000" w:themeColor="text1"/>
        </w:rPr>
        <w:t>d</w:t>
      </w:r>
      <w:r w:rsidR="002833E7" w:rsidRPr="00924CB5">
        <w:rPr>
          <w:rFonts w:ascii="Times New Roman" w:hAnsi="Times New Roman" w:cs="Times New Roman"/>
          <w:color w:val="000000" w:themeColor="text1"/>
        </w:rPr>
        <w:t>uring their life cycle</w:t>
      </w:r>
      <w:r w:rsidR="00673328" w:rsidRPr="0064790B">
        <w:rPr>
          <w:rFonts w:ascii="Times New Roman" w:hAnsi="Times New Roman" w:cs="Times New Roman"/>
          <w:color w:val="000000" w:themeColor="text1"/>
        </w:rPr>
        <w:t xml:space="preserve">. </w:t>
      </w:r>
    </w:p>
    <w:p w14:paraId="38202BEC" w14:textId="48465FFF" w:rsidR="000D6528" w:rsidRPr="000D6528" w:rsidRDefault="00EE62BB" w:rsidP="0064790B">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N</w:t>
      </w:r>
      <w:r w:rsidR="00810D89">
        <w:rPr>
          <w:rFonts w:ascii="Times New Roman" w:hAnsi="Times New Roman" w:cs="Times New Roman"/>
          <w:color w:val="000000" w:themeColor="text1"/>
        </w:rPr>
        <w:t xml:space="preserve">ATL STCs </w:t>
      </w:r>
      <w:r>
        <w:rPr>
          <w:rFonts w:ascii="Times New Roman" w:hAnsi="Times New Roman" w:cs="Times New Roman"/>
          <w:color w:val="000000" w:themeColor="text1"/>
        </w:rPr>
        <w:t xml:space="preserve">that undergo TT </w:t>
      </w:r>
      <w:r w:rsidR="00A86DD1">
        <w:rPr>
          <w:rFonts w:ascii="Times New Roman" w:hAnsi="Times New Roman" w:cs="Times New Roman"/>
          <w:color w:val="000000" w:themeColor="text1"/>
        </w:rPr>
        <w:t>were identified</w:t>
      </w:r>
      <w:r>
        <w:rPr>
          <w:rFonts w:ascii="Times New Roman" w:hAnsi="Times New Roman" w:cs="Times New Roman"/>
          <w:color w:val="000000" w:themeColor="text1"/>
        </w:rPr>
        <w:t xml:space="preserve"> during April</w:t>
      </w:r>
      <w:r w:rsidRPr="002C7B32">
        <w:rPr>
          <w:rFonts w:ascii="Times New Roman" w:hAnsi="Times New Roman" w:cs="Times New Roman"/>
        </w:rPr>
        <w:t>–</w:t>
      </w:r>
      <w:r>
        <w:rPr>
          <w:rFonts w:ascii="Times New Roman" w:hAnsi="Times New Roman" w:cs="Times New Roman"/>
        </w:rPr>
        <w:t>December</w:t>
      </w:r>
      <w:r w:rsidR="00E31574">
        <w:rPr>
          <w:rFonts w:ascii="Times New Roman" w:hAnsi="Times New Roman" w:cs="Times New Roman"/>
        </w:rPr>
        <w:t xml:space="preserve"> by </w:t>
      </w:r>
      <w:r w:rsidR="00E31574" w:rsidRPr="00E31574">
        <w:rPr>
          <w:rFonts w:ascii="Times New Roman" w:hAnsi="Times New Roman" w:cs="Times New Roman"/>
          <w:color w:val="0000FF"/>
        </w:rPr>
        <w:t>Bentley et al. (2016)</w:t>
      </w:r>
      <w:r>
        <w:rPr>
          <w:rFonts w:ascii="Times New Roman" w:hAnsi="Times New Roman" w:cs="Times New Roman"/>
        </w:rPr>
        <w:t xml:space="preserve">, with a peak in the frequency of formation </w:t>
      </w:r>
      <w:r w:rsidR="00A86DD1">
        <w:rPr>
          <w:rFonts w:ascii="Times New Roman" w:hAnsi="Times New Roman" w:cs="Times New Roman"/>
        </w:rPr>
        <w:t>during</w:t>
      </w:r>
      <w:r>
        <w:rPr>
          <w:rFonts w:ascii="Times New Roman" w:hAnsi="Times New Roman" w:cs="Times New Roman"/>
        </w:rPr>
        <w:t xml:space="preserve"> </w:t>
      </w:r>
      <w:r w:rsidR="00A86DD1">
        <w:rPr>
          <w:rFonts w:ascii="Times New Roman" w:hAnsi="Times New Roman" w:cs="Times New Roman"/>
        </w:rPr>
        <w:t>August</w:t>
      </w:r>
      <w:r w:rsidR="00A86DD1" w:rsidRPr="002C7B32">
        <w:rPr>
          <w:rFonts w:ascii="Times New Roman" w:hAnsi="Times New Roman" w:cs="Times New Roman"/>
        </w:rPr>
        <w:t>–</w:t>
      </w:r>
      <w:r w:rsidR="00A86DD1">
        <w:rPr>
          <w:rFonts w:ascii="Times New Roman" w:hAnsi="Times New Roman" w:cs="Times New Roman"/>
        </w:rPr>
        <w:t>October</w:t>
      </w:r>
      <w:r>
        <w:rPr>
          <w:rFonts w:ascii="Times New Roman" w:hAnsi="Times New Roman" w:cs="Times New Roman"/>
        </w:rPr>
        <w:t>.</w:t>
      </w:r>
      <w:r w:rsidR="005238C8">
        <w:rPr>
          <w:rFonts w:ascii="Times New Roman" w:hAnsi="Times New Roman" w:cs="Times New Roman"/>
        </w:rPr>
        <w:t xml:space="preserve">  </w:t>
      </w:r>
      <w:r w:rsidR="000D6528">
        <w:rPr>
          <w:rFonts w:ascii="Times New Roman" w:hAnsi="Times New Roman" w:cs="Times New Roman"/>
        </w:rPr>
        <w:t>STC formation occurs more frequently over the western NATL than over the eastern NATL, with the higher frequency of formation attributed to the recurrent overlap of relatively high sea surface temperatures (SSTs) and lower-tropospheric baroclinicity in the western NATL basin (</w:t>
      </w:r>
      <w:r w:rsidR="000D6528" w:rsidRPr="000D6528">
        <w:rPr>
          <w:rFonts w:ascii="Times New Roman" w:hAnsi="Times New Roman" w:cs="Times New Roman"/>
          <w:color w:val="0000FF"/>
        </w:rPr>
        <w:t>Guishard et al. 2009</w:t>
      </w:r>
      <w:r w:rsidR="000D6528">
        <w:rPr>
          <w:rFonts w:ascii="Times New Roman" w:hAnsi="Times New Roman" w:cs="Times New Roman"/>
        </w:rPr>
        <w:t xml:space="preserve">).  </w:t>
      </w:r>
    </w:p>
    <w:p w14:paraId="066E940C" w14:textId="1CDFB16C" w:rsidR="001C453C" w:rsidRPr="0064790B" w:rsidRDefault="001C453C" w:rsidP="000D6528">
      <w:pPr>
        <w:pStyle w:val="ListParagraph"/>
        <w:spacing w:line="360" w:lineRule="auto"/>
        <w:ind w:left="360"/>
        <w:rPr>
          <w:rFonts w:ascii="Times New Roman" w:hAnsi="Times New Roman" w:cs="Times New Roman"/>
          <w:color w:val="000000" w:themeColor="text1"/>
        </w:rPr>
      </w:pPr>
    </w:p>
    <w:p w14:paraId="76436B30" w14:textId="7F39D606" w:rsidR="006275FF" w:rsidRDefault="006275FF" w:rsidP="005B5F4D">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Discuss subjective </w:t>
      </w:r>
      <w:r w:rsidR="002E1D45">
        <w:rPr>
          <w:rFonts w:ascii="Times New Roman" w:hAnsi="Times New Roman" w:cs="Times New Roman"/>
          <w:color w:val="000000" w:themeColor="text1"/>
        </w:rPr>
        <w:t>categorization methodology</w:t>
      </w:r>
    </w:p>
    <w:p w14:paraId="737FC532" w14:textId="7EBB30D5" w:rsidR="00994E74" w:rsidRDefault="00994E74" w:rsidP="005B5F4D">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Figure 1 </w:t>
      </w:r>
      <w:r w:rsidR="005238C8">
        <w:rPr>
          <w:rFonts w:ascii="Times New Roman" w:hAnsi="Times New Roman" w:cs="Times New Roman"/>
          <w:color w:val="000000" w:themeColor="text1"/>
        </w:rPr>
        <w:t xml:space="preserve">depicts representative examples of STCs included in each category.  </w:t>
      </w:r>
    </w:p>
    <w:p w14:paraId="3FCD586B" w14:textId="6B6C04A1" w:rsidR="005238C8" w:rsidRPr="005238C8" w:rsidRDefault="005238C8" w:rsidP="005238C8">
      <w:pPr>
        <w:spacing w:line="360" w:lineRule="auto"/>
        <w:ind w:left="810"/>
        <w:rPr>
          <w:rFonts w:ascii="Times New Roman" w:hAnsi="Times New Roman" w:cs="Times New Roman"/>
          <w:color w:val="000000" w:themeColor="text1"/>
        </w:rPr>
      </w:pPr>
      <w:r>
        <w:rPr>
          <w:rFonts w:ascii="Times" w:hAnsi="Times" w:cs="Times"/>
          <w:color w:val="000000" w:themeColor="text1"/>
        </w:rPr>
        <w:lastRenderedPageBreak/>
        <w:t xml:space="preserve">1a) </w:t>
      </w:r>
      <w:r w:rsidRPr="005238C8">
        <w:rPr>
          <w:rFonts w:ascii="Times" w:hAnsi="Times" w:cs="Times"/>
          <w:color w:val="000000" w:themeColor="text1"/>
        </w:rPr>
        <w:t>Otto – 0000 UTC 27 November 2004 (cutoff low)</w:t>
      </w:r>
    </w:p>
    <w:p w14:paraId="43C5EA4C" w14:textId="23ABBD01" w:rsidR="005238C8" w:rsidRPr="005238C8" w:rsidRDefault="005238C8" w:rsidP="005238C8">
      <w:pPr>
        <w:spacing w:line="360" w:lineRule="auto"/>
        <w:ind w:left="810"/>
        <w:rPr>
          <w:rFonts w:ascii="Times New Roman" w:hAnsi="Times New Roman" w:cs="Times New Roman"/>
          <w:color w:val="000000" w:themeColor="text1"/>
        </w:rPr>
      </w:pPr>
      <w:r>
        <w:rPr>
          <w:rFonts w:ascii="Times" w:hAnsi="Times" w:cs="Times"/>
          <w:color w:val="000000" w:themeColor="text1"/>
        </w:rPr>
        <w:t xml:space="preserve">1b) </w:t>
      </w:r>
      <w:r w:rsidRPr="005238C8">
        <w:rPr>
          <w:rFonts w:ascii="Times" w:hAnsi="Times" w:cs="Times"/>
          <w:color w:val="000000" w:themeColor="text1"/>
        </w:rPr>
        <w:t>Olga – 0g00 UTC 25 November 2001 (meridional trough)</w:t>
      </w:r>
    </w:p>
    <w:p w14:paraId="1ABA2EE4" w14:textId="4EA615BB" w:rsidR="005238C8" w:rsidRPr="005238C8" w:rsidRDefault="005238C8" w:rsidP="005238C8">
      <w:pPr>
        <w:spacing w:line="360" w:lineRule="auto"/>
        <w:ind w:left="810"/>
        <w:rPr>
          <w:rFonts w:ascii="Times New Roman" w:hAnsi="Times New Roman" w:cs="Times New Roman"/>
          <w:color w:val="000000" w:themeColor="text1"/>
        </w:rPr>
      </w:pPr>
      <w:r>
        <w:rPr>
          <w:rFonts w:ascii="Times" w:hAnsi="Times" w:cs="Times"/>
          <w:color w:val="000000" w:themeColor="text1"/>
        </w:rPr>
        <w:t xml:space="preserve">1c) </w:t>
      </w:r>
      <w:r w:rsidRPr="005238C8">
        <w:rPr>
          <w:rFonts w:ascii="Times" w:hAnsi="Times" w:cs="Times"/>
          <w:color w:val="000000" w:themeColor="text1"/>
        </w:rPr>
        <w:t>Unnamed – 0000 UTC 24 July 1986 (zonal trough)</w:t>
      </w:r>
    </w:p>
    <w:p w14:paraId="73A5AD07" w14:textId="37E31AAA" w:rsidR="005238C8" w:rsidRPr="005238C8" w:rsidRDefault="005238C8" w:rsidP="005238C8">
      <w:pPr>
        <w:spacing w:line="360" w:lineRule="auto"/>
        <w:ind w:left="810"/>
        <w:rPr>
          <w:rFonts w:ascii="Times New Roman" w:hAnsi="Times New Roman" w:cs="Times New Roman"/>
          <w:color w:val="000000" w:themeColor="text1"/>
        </w:rPr>
      </w:pPr>
      <w:r>
        <w:rPr>
          <w:rFonts w:ascii="Times" w:hAnsi="Times" w:cs="Times"/>
          <w:color w:val="000000" w:themeColor="text1"/>
        </w:rPr>
        <w:t xml:space="preserve">1d) </w:t>
      </w:r>
      <w:r w:rsidRPr="005238C8">
        <w:rPr>
          <w:rFonts w:ascii="Times" w:hAnsi="Times" w:cs="Times"/>
          <w:color w:val="000000" w:themeColor="text1"/>
        </w:rPr>
        <w:t xml:space="preserve">Josephine – 0600 UTC 8 October 1984 (subtropical disturbance) </w:t>
      </w:r>
    </w:p>
    <w:p w14:paraId="6E4D4F84" w14:textId="3F5D04AA" w:rsidR="005238C8" w:rsidRDefault="002E1D45" w:rsidP="005B5F4D">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Relate to PC1 vs. PC2 phase space to support subjective categories (Fig. 2)</w:t>
      </w:r>
    </w:p>
    <w:p w14:paraId="68D49B77" w14:textId="7DFCDB7B" w:rsidR="002E1D45" w:rsidRPr="00274A7F" w:rsidRDefault="002E1D45" w:rsidP="002E1D45">
      <w:pPr>
        <w:pStyle w:val="ListParagraph"/>
        <w:numPr>
          <w:ilvl w:val="3"/>
          <w:numId w:val="13"/>
        </w:numPr>
        <w:spacing w:line="360" w:lineRule="auto"/>
        <w:ind w:left="1170"/>
        <w:rPr>
          <w:rFonts w:ascii="Times New Roman" w:hAnsi="Times New Roman" w:cs="Times New Roman"/>
          <w:color w:val="000000" w:themeColor="text1"/>
        </w:rPr>
      </w:pPr>
      <w:r>
        <w:rPr>
          <w:rFonts w:ascii="Times New Roman" w:hAnsi="Times New Roman" w:cs="Times New Roman"/>
          <w:color w:val="000000" w:themeColor="text1"/>
        </w:rPr>
        <w:t>Look over word choice in Bosart et al. (2016) for calculating PC1 and PC2</w:t>
      </w:r>
    </w:p>
    <w:p w14:paraId="0E6B5FFB" w14:textId="77777777" w:rsidR="00DE4984" w:rsidRPr="00274A7F" w:rsidRDefault="00DE4984" w:rsidP="00DE4984">
      <w:pPr>
        <w:pStyle w:val="ListParagraph"/>
        <w:spacing w:line="360" w:lineRule="auto"/>
        <w:ind w:left="360"/>
        <w:rPr>
          <w:rFonts w:ascii="Times New Roman" w:hAnsi="Times New Roman" w:cs="Times New Roman"/>
          <w:color w:val="000000" w:themeColor="text1"/>
        </w:rPr>
      </w:pPr>
    </w:p>
    <w:p w14:paraId="79E76563" w14:textId="77777777" w:rsidR="00DE4984" w:rsidRPr="00274A7F" w:rsidRDefault="005B5F4D" w:rsidP="00DE4984">
      <w:pPr>
        <w:pStyle w:val="ListParagraph"/>
        <w:numPr>
          <w:ilvl w:val="1"/>
          <w:numId w:val="13"/>
        </w:numPr>
        <w:spacing w:line="360" w:lineRule="auto"/>
        <w:rPr>
          <w:rFonts w:ascii="Times New Roman" w:hAnsi="Times New Roman" w:cs="Times New Roman"/>
          <w:i/>
          <w:color w:val="000000" w:themeColor="text1"/>
        </w:rPr>
      </w:pPr>
      <w:r w:rsidRPr="00274A7F">
        <w:rPr>
          <w:rFonts w:ascii="Times New Roman" w:hAnsi="Times New Roman" w:cs="Times New Roman"/>
          <w:i/>
          <w:color w:val="000000" w:themeColor="text1"/>
        </w:rPr>
        <w:t xml:space="preserve">Cyclone-relative compositing methodology </w:t>
      </w:r>
    </w:p>
    <w:p w14:paraId="71C18DEF" w14:textId="296EF952" w:rsidR="002E36B5" w:rsidRDefault="002E36B5" w:rsidP="00DE4984">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Use same language as Archambault et al. (2015) composite analysis paper</w:t>
      </w:r>
    </w:p>
    <w:p w14:paraId="1B19E6AE" w14:textId="7E758C01" w:rsidR="00981E58" w:rsidRPr="00981E58" w:rsidRDefault="00981E58" w:rsidP="00981E58">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Define time of STC formation (i.e., t = t</w:t>
      </w:r>
      <w:r w:rsidRPr="004F3BB9">
        <w:rPr>
          <w:rFonts w:ascii="Times New Roman" w:hAnsi="Times New Roman" w:cs="Times New Roman"/>
          <w:color w:val="000000" w:themeColor="text1"/>
          <w:vertAlign w:val="subscript"/>
        </w:rPr>
        <w:t>0</w:t>
      </w:r>
      <w:r>
        <w:rPr>
          <w:rFonts w:ascii="Times New Roman" w:hAnsi="Times New Roman" w:cs="Times New Roman"/>
          <w:color w:val="000000" w:themeColor="text1"/>
        </w:rPr>
        <w:t>)</w:t>
      </w:r>
    </w:p>
    <w:p w14:paraId="388D24FE" w14:textId="77777777" w:rsidR="00DE4984" w:rsidRPr="00274A7F" w:rsidRDefault="00DE4984" w:rsidP="00DE4984">
      <w:pPr>
        <w:pStyle w:val="ListParagraph"/>
        <w:spacing w:line="360" w:lineRule="auto"/>
        <w:ind w:left="360"/>
        <w:rPr>
          <w:rFonts w:ascii="Times New Roman" w:hAnsi="Times New Roman" w:cs="Times New Roman"/>
          <w:color w:val="000000" w:themeColor="text1"/>
        </w:rPr>
      </w:pPr>
    </w:p>
    <w:p w14:paraId="1AF813B3" w14:textId="5E92692C" w:rsidR="00121003" w:rsidRPr="0035391C" w:rsidRDefault="0035391C" w:rsidP="0035391C">
      <w:pPr>
        <w:pStyle w:val="ListParagraph"/>
        <w:numPr>
          <w:ilvl w:val="0"/>
          <w:numId w:val="13"/>
        </w:numPr>
        <w:spacing w:line="360" w:lineRule="auto"/>
        <w:ind w:left="360"/>
        <w:rPr>
          <w:rFonts w:ascii="Times New Roman" w:hAnsi="Times New Roman" w:cs="Times New Roman"/>
          <w:b/>
          <w:color w:val="000000" w:themeColor="text1"/>
        </w:rPr>
      </w:pPr>
      <w:r>
        <w:rPr>
          <w:rFonts w:ascii="Times New Roman" w:hAnsi="Times New Roman" w:cs="Times New Roman"/>
          <w:b/>
          <w:color w:val="000000" w:themeColor="text1"/>
        </w:rPr>
        <w:t>Composite r</w:t>
      </w:r>
      <w:r w:rsidR="005B5F4D" w:rsidRPr="00274A7F">
        <w:rPr>
          <w:rFonts w:ascii="Times New Roman" w:hAnsi="Times New Roman" w:cs="Times New Roman"/>
          <w:b/>
          <w:color w:val="000000" w:themeColor="text1"/>
        </w:rPr>
        <w:t>esults</w:t>
      </w:r>
    </w:p>
    <w:p w14:paraId="1927DB8A" w14:textId="77777777" w:rsidR="00DE4984" w:rsidRPr="00274A7F" w:rsidRDefault="005B5F4D" w:rsidP="00DE4984">
      <w:pPr>
        <w:pStyle w:val="ListParagraph"/>
        <w:numPr>
          <w:ilvl w:val="1"/>
          <w:numId w:val="13"/>
        </w:numPr>
        <w:spacing w:line="360" w:lineRule="auto"/>
        <w:rPr>
          <w:rFonts w:ascii="Times New Roman" w:hAnsi="Times New Roman" w:cs="Times New Roman"/>
          <w:i/>
          <w:color w:val="000000" w:themeColor="text1"/>
        </w:rPr>
      </w:pPr>
      <w:r w:rsidRPr="00274A7F">
        <w:rPr>
          <w:rFonts w:ascii="Times New Roman" w:hAnsi="Times New Roman" w:cs="Times New Roman"/>
          <w:i/>
          <w:color w:val="000000" w:themeColor="text1"/>
        </w:rPr>
        <w:t>Cutoff low composites</w:t>
      </w:r>
    </w:p>
    <w:p w14:paraId="440119F1" w14:textId="645D7335" w:rsidR="002E1D45" w:rsidRPr="002E1D45" w:rsidRDefault="000A2B02" w:rsidP="007E365D">
      <w:pPr>
        <w:pStyle w:val="ListParagraph"/>
        <w:numPr>
          <w:ilvl w:val="2"/>
          <w:numId w:val="13"/>
        </w:numPr>
        <w:spacing w:line="360" w:lineRule="auto"/>
        <w:ind w:left="360"/>
        <w:rPr>
          <w:rFonts w:ascii="Times New Roman" w:hAnsi="Times New Roman" w:cs="Times New Roman"/>
          <w:color w:val="000000" w:themeColor="text1"/>
        </w:rPr>
      </w:pPr>
      <w:r>
        <w:rPr>
          <w:rFonts w:ascii="Times" w:hAnsi="Times" w:cs="Times"/>
          <w:color w:val="000000" w:themeColor="text1"/>
        </w:rPr>
        <w:t xml:space="preserve">(Fig. </w:t>
      </w:r>
      <w:r w:rsidR="002E1D45">
        <w:rPr>
          <w:rFonts w:ascii="Times" w:hAnsi="Times" w:cs="Times"/>
          <w:color w:val="000000" w:themeColor="text1"/>
        </w:rPr>
        <w:t>3</w:t>
      </w:r>
      <w:r>
        <w:rPr>
          <w:rFonts w:ascii="Times" w:hAnsi="Times" w:cs="Times"/>
          <w:color w:val="000000" w:themeColor="text1"/>
        </w:rPr>
        <w:t xml:space="preserve">) </w:t>
      </w:r>
      <w:r w:rsidR="0056300C">
        <w:rPr>
          <w:rFonts w:ascii="Times" w:hAnsi="Times" w:cs="Times"/>
          <w:color w:val="000000" w:themeColor="text1"/>
        </w:rPr>
        <w:t>Ten</w:t>
      </w:r>
      <w:r>
        <w:rPr>
          <w:rFonts w:ascii="Times" w:hAnsi="Times" w:cs="Times"/>
          <w:color w:val="000000" w:themeColor="text1"/>
        </w:rPr>
        <w:t xml:space="preserve">-panel of </w:t>
      </w:r>
      <w:r w:rsidR="0056300C">
        <w:rPr>
          <w:rFonts w:ascii="Times" w:hAnsi="Times" w:cs="Times"/>
          <w:color w:val="000000" w:themeColor="text1"/>
        </w:rPr>
        <w:t xml:space="preserve">cyclone-relative </w:t>
      </w:r>
      <w:r w:rsidR="002E1D45">
        <w:rPr>
          <w:rFonts w:ascii="Times" w:hAnsi="Times" w:cs="Times"/>
          <w:color w:val="000000" w:themeColor="text1"/>
        </w:rPr>
        <w:t xml:space="preserve">cutoff low </w:t>
      </w:r>
      <w:r w:rsidR="0056300C">
        <w:rPr>
          <w:rFonts w:ascii="Times" w:hAnsi="Times" w:cs="Times"/>
          <w:color w:val="000000" w:themeColor="text1"/>
        </w:rPr>
        <w:t>composites of</w:t>
      </w:r>
      <w:r w:rsidR="002E1D45">
        <w:rPr>
          <w:rFonts w:ascii="Times" w:hAnsi="Times" w:cs="Times"/>
          <w:color w:val="000000" w:themeColor="text1"/>
        </w:rPr>
        <w:t>:</w:t>
      </w:r>
      <w:r w:rsidR="0056300C">
        <w:rPr>
          <w:rFonts w:ascii="Times" w:hAnsi="Times" w:cs="Times"/>
          <w:color w:val="000000" w:themeColor="text1"/>
        </w:rPr>
        <w:t xml:space="preserve"> </w:t>
      </w:r>
    </w:p>
    <w:p w14:paraId="1A125692" w14:textId="77777777" w:rsidR="002E1D45" w:rsidRPr="002E1D45" w:rsidRDefault="006379B8" w:rsidP="002E1D45">
      <w:pPr>
        <w:pStyle w:val="ListParagraph"/>
        <w:numPr>
          <w:ilvl w:val="3"/>
          <w:numId w:val="13"/>
        </w:numPr>
        <w:spacing w:line="360" w:lineRule="auto"/>
        <w:ind w:left="1170"/>
        <w:rPr>
          <w:rFonts w:ascii="Times New Roman" w:hAnsi="Times New Roman" w:cs="Times New Roman"/>
          <w:color w:val="000000" w:themeColor="text1"/>
        </w:rPr>
      </w:pPr>
      <w:r>
        <w:rPr>
          <w:rFonts w:ascii="Times" w:hAnsi="Times" w:cs="Times"/>
          <w:color w:val="000000" w:themeColor="text1"/>
        </w:rPr>
        <w:t>250</w:t>
      </w:r>
      <w:r w:rsidRPr="002C7B32">
        <w:rPr>
          <w:rFonts w:ascii="Times New Roman" w:hAnsi="Times New Roman" w:cs="Times New Roman"/>
        </w:rPr>
        <w:t>–</w:t>
      </w:r>
      <w:r>
        <w:rPr>
          <w:rFonts w:ascii="Times New Roman" w:hAnsi="Times New Roman" w:cs="Times New Roman"/>
        </w:rPr>
        <w:t>150-hPa PV</w:t>
      </w:r>
      <w:r w:rsidR="00AA4CBE">
        <w:rPr>
          <w:rFonts w:ascii="Times New Roman" w:hAnsi="Times New Roman" w:cs="Times New Roman"/>
        </w:rPr>
        <w:t xml:space="preserve"> (</w:t>
      </w:r>
      <w:r w:rsidR="002E1D45">
        <w:rPr>
          <w:rFonts w:ascii="Times New Roman" w:hAnsi="Times New Roman" w:cs="Times New Roman"/>
        </w:rPr>
        <w:t>blue</w:t>
      </w:r>
      <w:r w:rsidR="00AA4CBE">
        <w:rPr>
          <w:rFonts w:ascii="Times New Roman" w:hAnsi="Times New Roman" w:cs="Times New Roman"/>
        </w:rPr>
        <w:t xml:space="preserve"> contours, every 0.5 PVU)</w:t>
      </w:r>
      <w:r>
        <w:rPr>
          <w:rFonts w:ascii="Times New Roman" w:hAnsi="Times New Roman" w:cs="Times New Roman"/>
        </w:rPr>
        <w:t>, irrotational wind</w:t>
      </w:r>
      <w:r w:rsidR="00AA4CBE">
        <w:rPr>
          <w:rFonts w:ascii="Times New Roman" w:hAnsi="Times New Roman" w:cs="Times New Roman"/>
        </w:rPr>
        <w:t xml:space="preserve"> (vectors, &gt;1 m s</w:t>
      </w:r>
      <w:r w:rsidR="00AA4CBE" w:rsidRPr="00AA4CBE">
        <w:rPr>
          <w:rFonts w:ascii="Times New Roman" w:hAnsi="Times New Roman" w:cs="Times New Roman"/>
          <w:vertAlign w:val="superscript"/>
        </w:rPr>
        <w:t>−</w:t>
      </w:r>
      <w:r w:rsidR="00AA4CBE">
        <w:rPr>
          <w:rFonts w:ascii="Times New Roman" w:hAnsi="Times New Roman" w:cs="Times New Roman"/>
          <w:vertAlign w:val="superscript"/>
        </w:rPr>
        <w:t>1</w:t>
      </w:r>
      <w:r w:rsidR="00AA4CBE">
        <w:rPr>
          <w:rFonts w:ascii="Times New Roman" w:hAnsi="Times New Roman" w:cs="Times New Roman"/>
        </w:rPr>
        <w:t>)</w:t>
      </w:r>
      <w:r>
        <w:rPr>
          <w:rFonts w:ascii="Times New Roman" w:hAnsi="Times New Roman" w:cs="Times New Roman"/>
        </w:rPr>
        <w:t>, and 200-hPa meridional wind anomaly (</w:t>
      </w:r>
      <w:r w:rsidR="00AA4CBE">
        <w:rPr>
          <w:rFonts w:ascii="Times New Roman" w:hAnsi="Times New Roman" w:cs="Times New Roman"/>
        </w:rPr>
        <w:t>shaded according to color bar, m s</w:t>
      </w:r>
      <w:r w:rsidR="00AA4CBE" w:rsidRPr="00AA4CBE">
        <w:rPr>
          <w:rFonts w:ascii="Times New Roman" w:hAnsi="Times New Roman" w:cs="Times New Roman"/>
          <w:vertAlign w:val="superscript"/>
        </w:rPr>
        <w:t>−</w:t>
      </w:r>
      <w:r w:rsidR="00AA4CBE">
        <w:rPr>
          <w:rFonts w:ascii="Times New Roman" w:hAnsi="Times New Roman" w:cs="Times New Roman"/>
          <w:vertAlign w:val="superscript"/>
        </w:rPr>
        <w:t>1</w:t>
      </w:r>
      <w:r w:rsidR="00AA4CBE" w:rsidRPr="00AA4CBE">
        <w:rPr>
          <w:rFonts w:ascii="Times New Roman" w:hAnsi="Times New Roman" w:cs="Times New Roman"/>
        </w:rPr>
        <w:t xml:space="preserve">; </w:t>
      </w:r>
      <w:r w:rsidR="00AA4CBE">
        <w:rPr>
          <w:rFonts w:ascii="Times New Roman" w:hAnsi="Times New Roman" w:cs="Times New Roman"/>
        </w:rPr>
        <w:t>enclosed by black contours where significant at the 99% confidence interval</w:t>
      </w:r>
      <w:r>
        <w:rPr>
          <w:rFonts w:ascii="Times New Roman" w:hAnsi="Times New Roman" w:cs="Times New Roman"/>
        </w:rPr>
        <w:t xml:space="preserve">) </w:t>
      </w:r>
    </w:p>
    <w:p w14:paraId="0AD7D593" w14:textId="14D0F8D9" w:rsidR="002E1D45" w:rsidRPr="00D93CD8" w:rsidRDefault="005A6D6F" w:rsidP="00D93CD8">
      <w:pPr>
        <w:pStyle w:val="ListParagraph"/>
        <w:numPr>
          <w:ilvl w:val="3"/>
          <w:numId w:val="13"/>
        </w:numPr>
        <w:spacing w:line="360" w:lineRule="auto"/>
        <w:ind w:left="1170"/>
        <w:rPr>
          <w:rFonts w:ascii="Times New Roman" w:hAnsi="Times New Roman" w:cs="Times New Roman"/>
          <w:color w:val="000000" w:themeColor="text1"/>
        </w:rPr>
      </w:pPr>
      <w:r>
        <w:rPr>
          <w:rFonts w:ascii="Times" w:hAnsi="Times" w:cs="Times"/>
          <w:color w:val="000000" w:themeColor="text1"/>
        </w:rPr>
        <w:t>250</w:t>
      </w:r>
      <w:r w:rsidRPr="002C7B32">
        <w:rPr>
          <w:rFonts w:ascii="Times New Roman" w:hAnsi="Times New Roman" w:cs="Times New Roman"/>
        </w:rPr>
        <w:t>–</w:t>
      </w:r>
      <w:r>
        <w:rPr>
          <w:rFonts w:ascii="Times New Roman" w:hAnsi="Times New Roman" w:cs="Times New Roman"/>
        </w:rPr>
        <w:t>150</w:t>
      </w:r>
      <w:r w:rsidR="006379B8">
        <w:rPr>
          <w:rFonts w:ascii="Times" w:hAnsi="Times" w:cs="Times"/>
          <w:color w:val="000000" w:themeColor="text1"/>
        </w:rPr>
        <w:t>-hPa geopotential height</w:t>
      </w:r>
      <w:r w:rsidR="00AA4CBE">
        <w:rPr>
          <w:rFonts w:ascii="Times" w:hAnsi="Times" w:cs="Times"/>
          <w:color w:val="000000" w:themeColor="text1"/>
        </w:rPr>
        <w:t xml:space="preserve"> (</w:t>
      </w:r>
      <w:r w:rsidR="006275FF">
        <w:rPr>
          <w:rFonts w:ascii="Times" w:hAnsi="Times" w:cs="Times"/>
          <w:color w:val="000000" w:themeColor="text1"/>
        </w:rPr>
        <w:t>gray</w:t>
      </w:r>
      <w:r w:rsidR="00AA4CBE">
        <w:rPr>
          <w:rFonts w:ascii="Times" w:hAnsi="Times" w:cs="Times"/>
          <w:color w:val="000000" w:themeColor="text1"/>
        </w:rPr>
        <w:t xml:space="preserve"> contours, every 5 dam)</w:t>
      </w:r>
      <w:r w:rsidR="006275FF">
        <w:rPr>
          <w:rFonts w:ascii="Times" w:hAnsi="Times" w:cs="Times"/>
          <w:color w:val="000000" w:themeColor="text1"/>
        </w:rPr>
        <w:t xml:space="preserve"> and wind speed (solid blue contours, every 5 </w:t>
      </w:r>
      <w:r w:rsidR="006275FF">
        <w:rPr>
          <w:rFonts w:ascii="Times New Roman" w:hAnsi="Times New Roman" w:cs="Times New Roman"/>
        </w:rPr>
        <w:t>m s</w:t>
      </w:r>
      <w:r w:rsidR="006275FF" w:rsidRPr="00AA4CBE">
        <w:rPr>
          <w:rFonts w:ascii="Times New Roman" w:hAnsi="Times New Roman" w:cs="Times New Roman"/>
          <w:vertAlign w:val="superscript"/>
        </w:rPr>
        <w:t>−</w:t>
      </w:r>
      <w:r w:rsidR="006275FF">
        <w:rPr>
          <w:rFonts w:ascii="Times New Roman" w:hAnsi="Times New Roman" w:cs="Times New Roman"/>
          <w:vertAlign w:val="superscript"/>
        </w:rPr>
        <w:t>1</w:t>
      </w:r>
      <w:r w:rsidR="006275FF">
        <w:rPr>
          <w:rFonts w:ascii="Times New Roman" w:hAnsi="Times New Roman" w:cs="Times New Roman"/>
        </w:rPr>
        <w:t xml:space="preserve"> starting at 20 m s</w:t>
      </w:r>
      <w:r w:rsidR="006275FF" w:rsidRPr="00AA4CBE">
        <w:rPr>
          <w:rFonts w:ascii="Times New Roman" w:hAnsi="Times New Roman" w:cs="Times New Roman"/>
          <w:vertAlign w:val="superscript"/>
        </w:rPr>
        <w:t>−</w:t>
      </w:r>
      <w:r w:rsidR="006275FF">
        <w:rPr>
          <w:rFonts w:ascii="Times New Roman" w:hAnsi="Times New Roman" w:cs="Times New Roman"/>
          <w:vertAlign w:val="superscript"/>
        </w:rPr>
        <w:t>1</w:t>
      </w:r>
      <w:r w:rsidR="006275FF">
        <w:rPr>
          <w:rFonts w:ascii="Times New Roman" w:hAnsi="Times New Roman" w:cs="Times New Roman"/>
        </w:rPr>
        <w:t>)</w:t>
      </w:r>
      <w:r w:rsidR="006379B8">
        <w:rPr>
          <w:rFonts w:ascii="Times" w:hAnsi="Times" w:cs="Times"/>
          <w:color w:val="000000" w:themeColor="text1"/>
        </w:rPr>
        <w:t>, 850</w:t>
      </w:r>
      <w:r w:rsidR="006379B8" w:rsidRPr="002C7B32">
        <w:rPr>
          <w:rFonts w:ascii="Times New Roman" w:hAnsi="Times New Roman" w:cs="Times New Roman"/>
        </w:rPr>
        <w:t>–</w:t>
      </w:r>
      <w:r w:rsidR="006379B8">
        <w:rPr>
          <w:rFonts w:ascii="Times New Roman" w:hAnsi="Times New Roman" w:cs="Times New Roman"/>
        </w:rPr>
        <w:t>200-hPa vertical wind shear</w:t>
      </w:r>
      <w:r w:rsidR="00AA4CBE">
        <w:rPr>
          <w:rFonts w:ascii="Times New Roman" w:hAnsi="Times New Roman" w:cs="Times New Roman"/>
        </w:rPr>
        <w:t xml:space="preserve"> (</w:t>
      </w:r>
      <w:r w:rsidR="006275FF">
        <w:rPr>
          <w:rFonts w:ascii="Times New Roman" w:hAnsi="Times New Roman" w:cs="Times New Roman"/>
        </w:rPr>
        <w:t>vectors</w:t>
      </w:r>
      <w:r w:rsidR="00AA4CBE">
        <w:rPr>
          <w:rFonts w:ascii="Times New Roman" w:hAnsi="Times New Roman" w:cs="Times New Roman"/>
        </w:rPr>
        <w:t xml:space="preserve">, </w:t>
      </w:r>
      <w:r w:rsidR="006275FF">
        <w:rPr>
          <w:rFonts w:ascii="Times New Roman" w:hAnsi="Times New Roman" w:cs="Times New Roman"/>
        </w:rPr>
        <w:t>m s</w:t>
      </w:r>
      <w:r w:rsidR="006275FF" w:rsidRPr="00AA4CBE">
        <w:rPr>
          <w:rFonts w:ascii="Times New Roman" w:hAnsi="Times New Roman" w:cs="Times New Roman"/>
          <w:vertAlign w:val="superscript"/>
        </w:rPr>
        <w:t>−</w:t>
      </w:r>
      <w:r w:rsidR="006275FF">
        <w:rPr>
          <w:rFonts w:ascii="Times New Roman" w:hAnsi="Times New Roman" w:cs="Times New Roman"/>
          <w:vertAlign w:val="superscript"/>
        </w:rPr>
        <w:t>1</w:t>
      </w:r>
      <w:r w:rsidR="00AA4CBE">
        <w:rPr>
          <w:rFonts w:ascii="Times New Roman" w:hAnsi="Times New Roman" w:cs="Times New Roman"/>
        </w:rPr>
        <w:t>)</w:t>
      </w:r>
      <w:r w:rsidR="006379B8">
        <w:rPr>
          <w:rFonts w:ascii="Times New Roman" w:hAnsi="Times New Roman" w:cs="Times New Roman"/>
        </w:rPr>
        <w:t>, coupling index</w:t>
      </w:r>
      <w:r w:rsidR="00AA4CBE">
        <w:rPr>
          <w:rFonts w:ascii="Times New Roman" w:hAnsi="Times New Roman" w:cs="Times New Roman"/>
        </w:rPr>
        <w:t xml:space="preserve"> (</w:t>
      </w:r>
      <w:r w:rsidR="006275FF">
        <w:rPr>
          <w:rFonts w:ascii="Times New Roman" w:hAnsi="Times New Roman" w:cs="Times New Roman"/>
        </w:rPr>
        <w:t>red</w:t>
      </w:r>
      <w:r w:rsidR="00E707BB">
        <w:rPr>
          <w:rFonts w:ascii="Times New Roman" w:hAnsi="Times New Roman" w:cs="Times New Roman"/>
        </w:rPr>
        <w:t xml:space="preserve"> contours, </w:t>
      </w:r>
      <w:r w:rsidR="00AA4CBE">
        <w:rPr>
          <w:rFonts w:ascii="Times New Roman" w:hAnsi="Times New Roman" w:cs="Times New Roman"/>
        </w:rPr>
        <w:t>°C)</w:t>
      </w:r>
      <w:r w:rsidR="006379B8">
        <w:rPr>
          <w:rFonts w:ascii="Times New Roman" w:hAnsi="Times New Roman" w:cs="Times New Roman"/>
        </w:rPr>
        <w:t>, and PW anomaly (</w:t>
      </w:r>
      <w:r w:rsidR="00E707BB">
        <w:rPr>
          <w:rFonts w:ascii="Times New Roman" w:hAnsi="Times New Roman" w:cs="Times New Roman"/>
        </w:rPr>
        <w:t xml:space="preserve">shaded according to color bar, </w:t>
      </w:r>
      <w:r w:rsidR="006275FF">
        <w:rPr>
          <w:rFonts w:ascii="Times New Roman" w:hAnsi="Times New Roman" w:cs="Times New Roman"/>
        </w:rPr>
        <w:t>mm</w:t>
      </w:r>
      <w:r w:rsidR="00E707BB" w:rsidRPr="00AA4CBE">
        <w:rPr>
          <w:rFonts w:ascii="Times New Roman" w:hAnsi="Times New Roman" w:cs="Times New Roman"/>
        </w:rPr>
        <w:t xml:space="preserve">; </w:t>
      </w:r>
      <w:r w:rsidR="00E707BB">
        <w:rPr>
          <w:rFonts w:ascii="Times New Roman" w:hAnsi="Times New Roman" w:cs="Times New Roman"/>
        </w:rPr>
        <w:t>enclosed by black contours where significant at the 99% confidence interval</w:t>
      </w:r>
      <w:r w:rsidR="006379B8">
        <w:rPr>
          <w:rFonts w:ascii="Times New Roman" w:hAnsi="Times New Roman" w:cs="Times New Roman"/>
        </w:rPr>
        <w:t xml:space="preserve">). </w:t>
      </w:r>
      <w:r w:rsidR="002E1D45" w:rsidRPr="00D93CD8">
        <w:rPr>
          <w:rFonts w:ascii="Times New Roman" w:hAnsi="Times New Roman" w:cs="Times New Roman"/>
        </w:rPr>
        <w:t xml:space="preserve"> (</w:t>
      </w:r>
      <w:hyperlink r:id="rId9" w:history="1">
        <w:r w:rsidR="002E1D45" w:rsidRPr="00D93CD8">
          <w:rPr>
            <w:rStyle w:val="Hyperlink"/>
            <w:rFonts w:ascii="Times New Roman" w:hAnsi="Times New Roman" w:cs="Times New Roman"/>
          </w:rPr>
          <w:t>Link to figure testing</w:t>
        </w:r>
      </w:hyperlink>
      <w:r w:rsidR="002E1D45" w:rsidRPr="00D93CD8">
        <w:rPr>
          <w:rFonts w:ascii="Times New Roman" w:hAnsi="Times New Roman" w:cs="Times New Roman"/>
        </w:rPr>
        <w:t xml:space="preserve">) </w:t>
      </w:r>
    </w:p>
    <w:p w14:paraId="4600D349" w14:textId="77777777" w:rsidR="005B5F4D" w:rsidRPr="00274A7F" w:rsidRDefault="005B5F4D" w:rsidP="005B5F4D">
      <w:pPr>
        <w:spacing w:line="360" w:lineRule="auto"/>
        <w:ind w:left="360" w:hanging="360"/>
        <w:rPr>
          <w:rFonts w:ascii="Times New Roman" w:hAnsi="Times New Roman" w:cs="Times New Roman"/>
          <w:b/>
          <w:color w:val="000000" w:themeColor="text1"/>
        </w:rPr>
      </w:pPr>
    </w:p>
    <w:p w14:paraId="242BDEDA" w14:textId="77777777" w:rsidR="00DE4984" w:rsidRPr="00274A7F" w:rsidRDefault="005B5F4D" w:rsidP="00DE4984">
      <w:pPr>
        <w:pStyle w:val="ListParagraph"/>
        <w:numPr>
          <w:ilvl w:val="1"/>
          <w:numId w:val="13"/>
        </w:numPr>
        <w:spacing w:line="360" w:lineRule="auto"/>
        <w:rPr>
          <w:rFonts w:ascii="Times New Roman" w:hAnsi="Times New Roman" w:cs="Times New Roman"/>
          <w:i/>
          <w:color w:val="000000" w:themeColor="text1"/>
        </w:rPr>
      </w:pPr>
      <w:r w:rsidRPr="00274A7F">
        <w:rPr>
          <w:rFonts w:ascii="Times New Roman" w:hAnsi="Times New Roman" w:cs="Times New Roman"/>
          <w:i/>
          <w:color w:val="000000" w:themeColor="text1"/>
        </w:rPr>
        <w:t>Meridional trough composites</w:t>
      </w:r>
    </w:p>
    <w:p w14:paraId="16026B47" w14:textId="4F80B354" w:rsidR="00A5505B" w:rsidRPr="00274A7F" w:rsidRDefault="002E36B5" w:rsidP="00DE4984">
      <w:pPr>
        <w:pStyle w:val="ListParagraph"/>
        <w:numPr>
          <w:ilvl w:val="2"/>
          <w:numId w:val="13"/>
        </w:numPr>
        <w:spacing w:line="360" w:lineRule="auto"/>
        <w:ind w:left="360"/>
        <w:rPr>
          <w:rFonts w:ascii="Times New Roman" w:hAnsi="Times New Roman" w:cs="Times New Roman"/>
          <w:color w:val="000000" w:themeColor="text1"/>
        </w:rPr>
      </w:pPr>
      <w:r>
        <w:rPr>
          <w:rFonts w:ascii="Times" w:hAnsi="Times" w:cs="Times"/>
          <w:color w:val="000000" w:themeColor="text1"/>
        </w:rPr>
        <w:t xml:space="preserve">(Fig. </w:t>
      </w:r>
      <w:r w:rsidR="002E1D45">
        <w:rPr>
          <w:rFonts w:ascii="Times" w:hAnsi="Times" w:cs="Times"/>
          <w:color w:val="000000" w:themeColor="text1"/>
        </w:rPr>
        <w:t>4</w:t>
      </w:r>
      <w:r>
        <w:rPr>
          <w:rFonts w:ascii="Times" w:hAnsi="Times" w:cs="Times"/>
          <w:color w:val="000000" w:themeColor="text1"/>
        </w:rPr>
        <w:t xml:space="preserve">) </w:t>
      </w:r>
      <w:r w:rsidR="002E1D45">
        <w:rPr>
          <w:rFonts w:ascii="Times" w:hAnsi="Times" w:cs="Times"/>
          <w:color w:val="000000" w:themeColor="text1"/>
        </w:rPr>
        <w:t>As in Fig. 3, but for meridional troughs</w:t>
      </w:r>
    </w:p>
    <w:p w14:paraId="75DA2E40" w14:textId="77777777" w:rsidR="00A5505B" w:rsidRPr="00274A7F" w:rsidRDefault="00A5505B" w:rsidP="00A5505B">
      <w:pPr>
        <w:spacing w:line="360" w:lineRule="auto"/>
        <w:rPr>
          <w:rFonts w:ascii="Times New Roman" w:hAnsi="Times New Roman" w:cs="Times New Roman"/>
          <w:color w:val="000000" w:themeColor="text1"/>
        </w:rPr>
      </w:pPr>
    </w:p>
    <w:p w14:paraId="38AD2CD9" w14:textId="77777777" w:rsidR="002E36B5" w:rsidRDefault="00EA19A3" w:rsidP="002E36B5">
      <w:pPr>
        <w:pStyle w:val="ListParagraph"/>
        <w:numPr>
          <w:ilvl w:val="1"/>
          <w:numId w:val="13"/>
        </w:numPr>
        <w:spacing w:line="360" w:lineRule="auto"/>
        <w:rPr>
          <w:rFonts w:ascii="Times New Roman" w:hAnsi="Times New Roman" w:cs="Times New Roman"/>
          <w:i/>
          <w:color w:val="000000" w:themeColor="text1"/>
        </w:rPr>
      </w:pPr>
      <w:r w:rsidRPr="00274A7F">
        <w:rPr>
          <w:rFonts w:ascii="Times New Roman" w:hAnsi="Times New Roman" w:cs="Times New Roman"/>
          <w:i/>
          <w:color w:val="000000" w:themeColor="text1"/>
        </w:rPr>
        <w:t>Zonal trough composites</w:t>
      </w:r>
    </w:p>
    <w:p w14:paraId="59C7A7D4" w14:textId="36DC7D27" w:rsidR="00EA19A3" w:rsidRPr="002E1D45" w:rsidRDefault="002E36B5" w:rsidP="002E36B5">
      <w:pPr>
        <w:pStyle w:val="ListParagraph"/>
        <w:numPr>
          <w:ilvl w:val="2"/>
          <w:numId w:val="13"/>
        </w:numPr>
        <w:spacing w:line="360" w:lineRule="auto"/>
        <w:ind w:left="360"/>
        <w:rPr>
          <w:rFonts w:ascii="Times New Roman" w:hAnsi="Times New Roman" w:cs="Times New Roman"/>
          <w:color w:val="000000" w:themeColor="text1"/>
        </w:rPr>
      </w:pPr>
      <w:r w:rsidRPr="002E1D45">
        <w:rPr>
          <w:rFonts w:ascii="Times" w:hAnsi="Times" w:cs="Times"/>
          <w:color w:val="000000" w:themeColor="text1"/>
        </w:rPr>
        <w:t xml:space="preserve">(Fig. </w:t>
      </w:r>
      <w:r w:rsidR="002E1D45" w:rsidRPr="002E1D45">
        <w:rPr>
          <w:rFonts w:ascii="Times" w:hAnsi="Times" w:cs="Times"/>
          <w:color w:val="000000" w:themeColor="text1"/>
        </w:rPr>
        <w:t>5</w:t>
      </w:r>
      <w:r w:rsidRPr="002E1D45">
        <w:rPr>
          <w:rFonts w:ascii="Times" w:hAnsi="Times" w:cs="Times"/>
          <w:color w:val="000000" w:themeColor="text1"/>
        </w:rPr>
        <w:t xml:space="preserve">) </w:t>
      </w:r>
      <w:r w:rsidR="002E1D45" w:rsidRPr="002E1D45">
        <w:rPr>
          <w:rFonts w:ascii="Times" w:hAnsi="Times" w:cs="Times"/>
          <w:color w:val="000000" w:themeColor="text1"/>
        </w:rPr>
        <w:t xml:space="preserve">As in Fig. </w:t>
      </w:r>
      <w:r w:rsidR="002E1D45">
        <w:rPr>
          <w:rFonts w:ascii="Times" w:hAnsi="Times" w:cs="Times"/>
          <w:color w:val="000000" w:themeColor="text1"/>
        </w:rPr>
        <w:t>3, but for zonal troughs</w:t>
      </w:r>
    </w:p>
    <w:p w14:paraId="5C167A02" w14:textId="77777777" w:rsidR="002E36B5" w:rsidRPr="002E36B5" w:rsidRDefault="002E36B5" w:rsidP="002E36B5">
      <w:pPr>
        <w:pStyle w:val="ListParagraph"/>
        <w:spacing w:line="360" w:lineRule="auto"/>
        <w:ind w:left="360"/>
        <w:rPr>
          <w:rFonts w:ascii="Times New Roman" w:hAnsi="Times New Roman" w:cs="Times New Roman"/>
          <w:i/>
          <w:color w:val="000000" w:themeColor="text1"/>
        </w:rPr>
      </w:pPr>
    </w:p>
    <w:p w14:paraId="5E081138" w14:textId="6DE8098F" w:rsidR="00EA19A3" w:rsidRPr="00274A7F" w:rsidRDefault="00EA19A3" w:rsidP="00EA19A3">
      <w:pPr>
        <w:pStyle w:val="ListParagraph"/>
        <w:numPr>
          <w:ilvl w:val="1"/>
          <w:numId w:val="13"/>
        </w:numPr>
        <w:spacing w:line="360" w:lineRule="auto"/>
        <w:rPr>
          <w:rFonts w:ascii="Times New Roman" w:hAnsi="Times New Roman" w:cs="Times New Roman"/>
          <w:i/>
          <w:color w:val="000000" w:themeColor="text1"/>
        </w:rPr>
      </w:pPr>
      <w:r w:rsidRPr="00274A7F">
        <w:rPr>
          <w:rFonts w:ascii="Times New Roman" w:hAnsi="Times New Roman" w:cs="Times New Roman"/>
          <w:i/>
          <w:color w:val="000000" w:themeColor="text1"/>
        </w:rPr>
        <w:t>Subtropical disturbance composites</w:t>
      </w:r>
    </w:p>
    <w:p w14:paraId="7B1F822D" w14:textId="2E861041" w:rsidR="0035391C" w:rsidRPr="00D93CD8" w:rsidRDefault="002E36B5" w:rsidP="00D93CD8">
      <w:pPr>
        <w:pStyle w:val="ListParagraph"/>
        <w:numPr>
          <w:ilvl w:val="2"/>
          <w:numId w:val="13"/>
        </w:numPr>
        <w:spacing w:line="360" w:lineRule="auto"/>
        <w:ind w:left="360"/>
        <w:rPr>
          <w:rFonts w:ascii="Times New Roman" w:hAnsi="Times New Roman" w:cs="Times New Roman"/>
          <w:color w:val="000000" w:themeColor="text1"/>
        </w:rPr>
      </w:pPr>
      <w:r>
        <w:rPr>
          <w:rFonts w:ascii="Times" w:hAnsi="Times" w:cs="Times"/>
          <w:color w:val="000000" w:themeColor="text1"/>
        </w:rPr>
        <w:t xml:space="preserve">(Fig. </w:t>
      </w:r>
      <w:r w:rsidR="00D93CD8">
        <w:rPr>
          <w:rFonts w:ascii="Times" w:hAnsi="Times" w:cs="Times"/>
          <w:color w:val="000000" w:themeColor="text1"/>
        </w:rPr>
        <w:t>6</w:t>
      </w:r>
      <w:r>
        <w:rPr>
          <w:rFonts w:ascii="Times" w:hAnsi="Times" w:cs="Times"/>
          <w:color w:val="000000" w:themeColor="text1"/>
        </w:rPr>
        <w:t xml:space="preserve">) </w:t>
      </w:r>
      <w:r w:rsidR="00D93CD8">
        <w:rPr>
          <w:rFonts w:ascii="Times" w:hAnsi="Times" w:cs="Times"/>
          <w:color w:val="000000" w:themeColor="text1"/>
        </w:rPr>
        <w:t>As in Fig. 3, but for subtropical disturbances</w:t>
      </w:r>
    </w:p>
    <w:p w14:paraId="02D1EA2B" w14:textId="31D99D1E" w:rsidR="0035391C" w:rsidRPr="0035391C" w:rsidRDefault="0035391C" w:rsidP="0035391C">
      <w:pPr>
        <w:pStyle w:val="ListParagraph"/>
        <w:numPr>
          <w:ilvl w:val="0"/>
          <w:numId w:val="13"/>
        </w:numPr>
        <w:spacing w:line="360" w:lineRule="auto"/>
        <w:ind w:left="360"/>
        <w:rPr>
          <w:rFonts w:ascii="Times New Roman" w:hAnsi="Times New Roman" w:cs="Times New Roman"/>
          <w:b/>
          <w:color w:val="000000" w:themeColor="text1"/>
        </w:rPr>
      </w:pPr>
      <w:r w:rsidRPr="0035391C">
        <w:rPr>
          <w:rFonts w:ascii="Times New Roman" w:hAnsi="Times New Roman" w:cs="Times New Roman"/>
          <w:b/>
          <w:color w:val="000000" w:themeColor="text1"/>
        </w:rPr>
        <w:t>Climatological results</w:t>
      </w:r>
      <w:r w:rsidRPr="0035391C">
        <w:rPr>
          <w:rFonts w:ascii="Times New Roman" w:hAnsi="Times New Roman" w:cs="Times New Roman"/>
          <w:b/>
          <w:color w:val="000000" w:themeColor="text1"/>
        </w:rPr>
        <w:tab/>
      </w:r>
    </w:p>
    <w:p w14:paraId="4A1123CD" w14:textId="1CE295C5" w:rsidR="0035391C" w:rsidRPr="00274A7F" w:rsidRDefault="00D93CD8" w:rsidP="0035391C">
      <w:pPr>
        <w:pStyle w:val="ListParagraph"/>
        <w:numPr>
          <w:ilvl w:val="2"/>
          <w:numId w:val="13"/>
        </w:numPr>
        <w:spacing w:line="360" w:lineRule="auto"/>
        <w:ind w:left="360"/>
        <w:rPr>
          <w:rFonts w:ascii="Times New Roman" w:hAnsi="Times New Roman" w:cs="Times New Roman"/>
          <w:color w:val="000000" w:themeColor="text1"/>
        </w:rPr>
      </w:pPr>
      <w:r w:rsidRPr="00274A7F">
        <w:rPr>
          <w:rFonts w:ascii="Times New Roman" w:hAnsi="Times New Roman" w:cs="Times New Roman"/>
          <w:color w:val="000000" w:themeColor="text1"/>
        </w:rPr>
        <w:t xml:space="preserve">(Fig. </w:t>
      </w:r>
      <w:r>
        <w:rPr>
          <w:rFonts w:ascii="Times New Roman" w:hAnsi="Times New Roman" w:cs="Times New Roman"/>
          <w:color w:val="000000" w:themeColor="text1"/>
        </w:rPr>
        <w:t>7</w:t>
      </w:r>
      <w:r w:rsidRPr="00274A7F">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35391C" w:rsidRPr="00274A7F">
        <w:rPr>
          <w:rFonts w:ascii="Times New Roman" w:hAnsi="Times New Roman" w:cs="Times New Roman"/>
          <w:color w:val="000000" w:themeColor="text1"/>
        </w:rPr>
        <w:t xml:space="preserve">Breakdown of Strong TT, Weak TT, and Trough Induced pathways in McTaggart-Cowan et al. (2013) by upper-tropospheric precursor </w:t>
      </w:r>
    </w:p>
    <w:p w14:paraId="0E974173" w14:textId="69340E0D" w:rsidR="0035391C" w:rsidRPr="00274A7F" w:rsidRDefault="0035391C" w:rsidP="0035391C">
      <w:pPr>
        <w:pStyle w:val="ListParagraph"/>
        <w:numPr>
          <w:ilvl w:val="2"/>
          <w:numId w:val="13"/>
        </w:numPr>
        <w:spacing w:line="360" w:lineRule="auto"/>
        <w:ind w:left="360"/>
        <w:rPr>
          <w:rFonts w:ascii="Times New Roman" w:hAnsi="Times New Roman" w:cs="Times New Roman"/>
          <w:color w:val="000000" w:themeColor="text1"/>
        </w:rPr>
      </w:pPr>
      <w:r w:rsidRPr="00274A7F">
        <w:rPr>
          <w:rFonts w:ascii="Times New Roman" w:hAnsi="Times New Roman" w:cs="Times New Roman"/>
          <w:color w:val="000000" w:themeColor="text1"/>
        </w:rPr>
        <w:t xml:space="preserve">Relate to image of Strong TT, Weak TT, and Trough Induced locations in </w:t>
      </w:r>
      <w:r w:rsidR="00D93CD8" w:rsidRPr="00D93CD8">
        <w:rPr>
          <w:rFonts w:ascii="Times New Roman" w:hAnsi="Times New Roman" w:cs="Times New Roman"/>
          <w:color w:val="0000FF"/>
        </w:rPr>
        <w:t>Bentley et al. (2016)</w:t>
      </w:r>
      <w:r w:rsidRPr="00274A7F">
        <w:rPr>
          <w:rFonts w:ascii="Times New Roman" w:hAnsi="Times New Roman" w:cs="Times New Roman"/>
          <w:color w:val="000000" w:themeColor="text1"/>
        </w:rPr>
        <w:t xml:space="preserve"> (their Fig. </w:t>
      </w:r>
      <w:r w:rsidR="00B7544E">
        <w:rPr>
          <w:rFonts w:ascii="Times New Roman" w:hAnsi="Times New Roman" w:cs="Times New Roman"/>
          <w:color w:val="000000" w:themeColor="text1"/>
        </w:rPr>
        <w:t>___)</w:t>
      </w:r>
    </w:p>
    <w:p w14:paraId="5BB69851" w14:textId="27BDEC9A" w:rsidR="0035391C" w:rsidRDefault="00D93CD8" w:rsidP="0035391C">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(Fig. </w:t>
      </w:r>
      <w:r w:rsidR="009C2A9B">
        <w:rPr>
          <w:rFonts w:ascii="Times New Roman" w:hAnsi="Times New Roman" w:cs="Times New Roman"/>
          <w:color w:val="000000" w:themeColor="text1"/>
        </w:rPr>
        <w:t>8</w:t>
      </w:r>
      <w:r w:rsidRPr="00274A7F">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35391C" w:rsidRPr="00274A7F">
        <w:rPr>
          <w:rFonts w:ascii="Times New Roman" w:hAnsi="Times New Roman" w:cs="Times New Roman"/>
          <w:color w:val="000000" w:themeColor="text1"/>
        </w:rPr>
        <w:t>Locations of STC formation in t</w:t>
      </w:r>
      <w:r w:rsidR="002E36B5">
        <w:rPr>
          <w:rFonts w:ascii="Times New Roman" w:hAnsi="Times New Roman" w:cs="Times New Roman"/>
          <w:color w:val="000000" w:themeColor="text1"/>
        </w:rPr>
        <w:t xml:space="preserve">he North Atlantic basin </w:t>
      </w:r>
    </w:p>
    <w:p w14:paraId="18FB3834" w14:textId="4A3F2705" w:rsidR="00B7544E" w:rsidRPr="00274A7F" w:rsidRDefault="00D93CD8" w:rsidP="0035391C">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(Fig. </w:t>
      </w:r>
      <w:r w:rsidR="009C2A9B">
        <w:rPr>
          <w:rFonts w:ascii="Times New Roman" w:hAnsi="Times New Roman" w:cs="Times New Roman"/>
          <w:color w:val="000000" w:themeColor="text1"/>
        </w:rPr>
        <w:t>9</w:t>
      </w:r>
      <w:r>
        <w:rPr>
          <w:rFonts w:ascii="Times New Roman" w:hAnsi="Times New Roman" w:cs="Times New Roman"/>
          <w:color w:val="000000" w:themeColor="text1"/>
        </w:rPr>
        <w:t xml:space="preserve">) </w:t>
      </w:r>
      <w:r w:rsidR="00B7544E">
        <w:rPr>
          <w:rFonts w:ascii="Times New Roman" w:hAnsi="Times New Roman" w:cs="Times New Roman"/>
          <w:color w:val="000000" w:themeColor="text1"/>
        </w:rPr>
        <w:t xml:space="preserve">Intraseasonal Variability </w:t>
      </w:r>
      <w:r>
        <w:rPr>
          <w:rFonts w:ascii="Times New Roman" w:hAnsi="Times New Roman" w:cs="Times New Roman"/>
          <w:color w:val="000000" w:themeColor="text1"/>
        </w:rPr>
        <w:t>of categories histogram</w:t>
      </w:r>
    </w:p>
    <w:p w14:paraId="500C18C8" w14:textId="7A60995A" w:rsidR="0035391C" w:rsidRPr="0035391C" w:rsidRDefault="00D93CD8" w:rsidP="0035391C">
      <w:pPr>
        <w:pStyle w:val="ListParagraph"/>
        <w:numPr>
          <w:ilvl w:val="1"/>
          <w:numId w:val="13"/>
        </w:numPr>
        <w:spacing w:line="360" w:lineRule="auto"/>
        <w:rPr>
          <w:rFonts w:ascii="Times New Roman" w:hAnsi="Times New Roman" w:cs="Times New Roman"/>
          <w:color w:val="000000" w:themeColor="text1"/>
        </w:rPr>
      </w:pPr>
      <w:r w:rsidRPr="00274A7F">
        <w:rPr>
          <w:rFonts w:ascii="Times New Roman" w:hAnsi="Times New Roman" w:cs="Times New Roman"/>
          <w:color w:val="000000" w:themeColor="text1"/>
        </w:rPr>
        <w:t xml:space="preserve">(Fig. </w:t>
      </w:r>
      <w:r w:rsidR="009C2A9B">
        <w:rPr>
          <w:rFonts w:ascii="Times New Roman" w:hAnsi="Times New Roman" w:cs="Times New Roman"/>
          <w:color w:val="000000" w:themeColor="text1"/>
        </w:rPr>
        <w:t>10</w:t>
      </w:r>
      <w:r w:rsidRPr="00274A7F">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35391C" w:rsidRPr="00274A7F">
        <w:rPr>
          <w:rFonts w:ascii="Times New Roman" w:hAnsi="Times New Roman" w:cs="Times New Roman"/>
          <w:color w:val="000000" w:themeColor="text1"/>
        </w:rPr>
        <w:t xml:space="preserve">Coupling Index </w:t>
      </w:r>
      <w:r>
        <w:rPr>
          <w:rFonts w:ascii="Times New Roman" w:hAnsi="Times New Roman" w:cs="Times New Roman"/>
          <w:color w:val="000000" w:themeColor="text1"/>
        </w:rPr>
        <w:t xml:space="preserve">histogram </w:t>
      </w:r>
    </w:p>
    <w:p w14:paraId="0411DDF9" w14:textId="77777777" w:rsidR="005B5F4D" w:rsidRPr="0087370B" w:rsidRDefault="005B5F4D" w:rsidP="0087370B">
      <w:pPr>
        <w:spacing w:line="360" w:lineRule="auto"/>
        <w:rPr>
          <w:rFonts w:ascii="Times New Roman" w:hAnsi="Times New Roman" w:cs="Times New Roman"/>
          <w:b/>
          <w:color w:val="000000" w:themeColor="text1"/>
        </w:rPr>
      </w:pPr>
    </w:p>
    <w:p w14:paraId="361A5AF8" w14:textId="71F5999B" w:rsidR="00DD2DDA" w:rsidRPr="00274A7F" w:rsidRDefault="00682866" w:rsidP="005B5F4D">
      <w:pPr>
        <w:pStyle w:val="ListParagraph"/>
        <w:numPr>
          <w:ilvl w:val="0"/>
          <w:numId w:val="13"/>
        </w:numPr>
        <w:spacing w:line="360" w:lineRule="auto"/>
        <w:ind w:left="360"/>
        <w:rPr>
          <w:rFonts w:ascii="Times New Roman" w:hAnsi="Times New Roman" w:cs="Times New Roman"/>
          <w:b/>
          <w:color w:val="000000" w:themeColor="text1"/>
        </w:rPr>
      </w:pPr>
      <w:r>
        <w:rPr>
          <w:rFonts w:ascii="Times New Roman" w:hAnsi="Times New Roman" w:cs="Times New Roman"/>
          <w:b/>
          <w:color w:val="000000" w:themeColor="text1"/>
        </w:rPr>
        <w:t>Summary</w:t>
      </w:r>
      <w:r w:rsidR="001033FF">
        <w:rPr>
          <w:rFonts w:ascii="Times New Roman" w:hAnsi="Times New Roman" w:cs="Times New Roman"/>
          <w:b/>
          <w:color w:val="000000" w:themeColor="text1"/>
        </w:rPr>
        <w:t xml:space="preserve"> and conclusions</w:t>
      </w:r>
    </w:p>
    <w:p w14:paraId="4752F5CC" w14:textId="0D3BE64F" w:rsidR="003E4532" w:rsidRDefault="00A75249" w:rsidP="001D08F0">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The present study uses composite analysis to investigate the upper-tropospheric </w:t>
      </w:r>
      <w:r w:rsidR="005E1D88">
        <w:rPr>
          <w:rFonts w:ascii="Times New Roman" w:hAnsi="Times New Roman" w:cs="Times New Roman"/>
          <w:color w:val="000000" w:themeColor="text1"/>
        </w:rPr>
        <w:t>precursors to the</w:t>
      </w:r>
      <w:r>
        <w:rPr>
          <w:rFonts w:ascii="Times New Roman" w:hAnsi="Times New Roman" w:cs="Times New Roman"/>
          <w:color w:val="000000" w:themeColor="text1"/>
        </w:rPr>
        <w:t xml:space="preserve"> for</w:t>
      </w:r>
      <w:r w:rsidR="001D08F0">
        <w:rPr>
          <w:rFonts w:ascii="Times New Roman" w:hAnsi="Times New Roman" w:cs="Times New Roman"/>
          <w:color w:val="000000" w:themeColor="text1"/>
        </w:rPr>
        <w:t>mation of NATL STCs that under</w:t>
      </w:r>
      <w:r w:rsidR="00921E5E">
        <w:rPr>
          <w:rFonts w:ascii="Times New Roman" w:hAnsi="Times New Roman" w:cs="Times New Roman"/>
          <w:color w:val="000000" w:themeColor="text1"/>
        </w:rPr>
        <w:t>go</w:t>
      </w:r>
      <w:r>
        <w:rPr>
          <w:rFonts w:ascii="Times New Roman" w:hAnsi="Times New Roman" w:cs="Times New Roman"/>
          <w:color w:val="000000" w:themeColor="text1"/>
        </w:rPr>
        <w:t xml:space="preserve"> TT identified by </w:t>
      </w:r>
      <w:r w:rsidRPr="00A75249">
        <w:rPr>
          <w:rFonts w:ascii="Times New Roman" w:hAnsi="Times New Roman" w:cs="Times New Roman"/>
          <w:color w:val="0000FF"/>
        </w:rPr>
        <w:t>Bentley et al. (2016)</w:t>
      </w:r>
      <w:r>
        <w:rPr>
          <w:rFonts w:ascii="Times New Roman" w:hAnsi="Times New Roman" w:cs="Times New Roman"/>
          <w:color w:val="000000" w:themeColor="text1"/>
        </w:rPr>
        <w:t xml:space="preserve">. </w:t>
      </w:r>
    </w:p>
    <w:p w14:paraId="52BDA044" w14:textId="42DD21DF" w:rsidR="001D08F0" w:rsidRDefault="001D08F0" w:rsidP="001D08F0">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NATL STCs that under</w:t>
      </w:r>
      <w:r w:rsidR="00921E5E">
        <w:rPr>
          <w:rFonts w:ascii="Times New Roman" w:hAnsi="Times New Roman" w:cs="Times New Roman"/>
          <w:color w:val="000000" w:themeColor="text1"/>
        </w:rPr>
        <w:t>go</w:t>
      </w:r>
      <w:r>
        <w:rPr>
          <w:rFonts w:ascii="Times New Roman" w:hAnsi="Times New Roman" w:cs="Times New Roman"/>
          <w:color w:val="000000" w:themeColor="text1"/>
        </w:rPr>
        <w:t xml:space="preserve"> TT were </w:t>
      </w:r>
      <w:r w:rsidR="001033FF">
        <w:rPr>
          <w:rFonts w:ascii="Times New Roman" w:hAnsi="Times New Roman" w:cs="Times New Roman"/>
          <w:color w:val="000000" w:themeColor="text1"/>
        </w:rPr>
        <w:t>subjectively</w:t>
      </w:r>
      <w:r w:rsidR="001033F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separated into </w:t>
      </w:r>
      <w:r w:rsidR="00D24F62">
        <w:rPr>
          <w:rFonts w:ascii="Times New Roman" w:hAnsi="Times New Roman" w:cs="Times New Roman"/>
          <w:color w:val="000000" w:themeColor="text1"/>
        </w:rPr>
        <w:t>categories</w:t>
      </w:r>
      <w:r>
        <w:rPr>
          <w:rFonts w:ascii="Times New Roman" w:hAnsi="Times New Roman" w:cs="Times New Roman"/>
          <w:color w:val="000000" w:themeColor="text1"/>
        </w:rPr>
        <w:t xml:space="preserve"> </w:t>
      </w:r>
      <w:r w:rsidR="007654EB">
        <w:rPr>
          <w:rFonts w:ascii="Times New Roman" w:hAnsi="Times New Roman" w:cs="Times New Roman"/>
          <w:color w:val="000000" w:themeColor="text1"/>
        </w:rPr>
        <w:t>according to</w:t>
      </w:r>
      <w:r>
        <w:rPr>
          <w:rFonts w:ascii="Times New Roman" w:hAnsi="Times New Roman" w:cs="Times New Roman"/>
          <w:color w:val="000000" w:themeColor="text1"/>
        </w:rPr>
        <w:t xml:space="preserve"> the upper-tropospheric feature </w:t>
      </w:r>
      <w:r w:rsidR="00921E5E">
        <w:rPr>
          <w:rFonts w:ascii="Times New Roman" w:hAnsi="Times New Roman" w:cs="Times New Roman"/>
          <w:color w:val="000000" w:themeColor="text1"/>
        </w:rPr>
        <w:t xml:space="preserve">associated </w:t>
      </w:r>
      <w:r w:rsidR="009A0578">
        <w:rPr>
          <w:rFonts w:ascii="Times New Roman" w:hAnsi="Times New Roman" w:cs="Times New Roman"/>
          <w:color w:val="000000" w:themeColor="text1"/>
        </w:rPr>
        <w:t xml:space="preserve">with </w:t>
      </w:r>
      <w:r w:rsidR="002D1722">
        <w:rPr>
          <w:rFonts w:ascii="Times New Roman" w:hAnsi="Times New Roman" w:cs="Times New Roman"/>
          <w:color w:val="000000" w:themeColor="text1"/>
        </w:rPr>
        <w:t>STC</w:t>
      </w:r>
      <w:r w:rsidR="00921E5E">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formation:  1) cutoff low, 2) meridional trough, 3) zonal trough, or 4) subtropical disturbance. </w:t>
      </w:r>
    </w:p>
    <w:p w14:paraId="4DFF2330" w14:textId="366F7821" w:rsidR="00E61851" w:rsidRDefault="00E61851" w:rsidP="001D08F0">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Time-lagged cyclone-relative composite analysis, performed on STCs included in each </w:t>
      </w:r>
      <w:r w:rsidR="001033FF">
        <w:rPr>
          <w:rFonts w:ascii="Times New Roman" w:hAnsi="Times New Roman" w:cs="Times New Roman"/>
          <w:color w:val="000000" w:themeColor="text1"/>
        </w:rPr>
        <w:t>category</w:t>
      </w:r>
      <w:r>
        <w:rPr>
          <w:rFonts w:ascii="Times New Roman" w:hAnsi="Times New Roman" w:cs="Times New Roman"/>
          <w:color w:val="000000" w:themeColor="text1"/>
        </w:rPr>
        <w:t>, illustrate the structure, motion, and evolution of the upper-tropospheric precursors to NATL STC formation</w:t>
      </w:r>
      <w:r w:rsidR="00CD755B">
        <w:rPr>
          <w:rFonts w:ascii="Times New Roman" w:hAnsi="Times New Roman" w:cs="Times New Roman"/>
          <w:color w:val="000000" w:themeColor="text1"/>
        </w:rPr>
        <w:t>.</w:t>
      </w:r>
      <w:r>
        <w:rPr>
          <w:rFonts w:ascii="Times New Roman" w:hAnsi="Times New Roman" w:cs="Times New Roman"/>
          <w:color w:val="000000" w:themeColor="text1"/>
        </w:rPr>
        <w:t xml:space="preserve">     </w:t>
      </w:r>
    </w:p>
    <w:p w14:paraId="7F04BCEB" w14:textId="77777777" w:rsidR="00E61851" w:rsidRDefault="00E61851" w:rsidP="00E61851">
      <w:pPr>
        <w:pStyle w:val="ListParagraph"/>
        <w:spacing w:line="360" w:lineRule="auto"/>
        <w:ind w:left="360"/>
        <w:rPr>
          <w:rFonts w:ascii="Times New Roman" w:hAnsi="Times New Roman" w:cs="Times New Roman"/>
          <w:color w:val="000000" w:themeColor="text1"/>
        </w:rPr>
      </w:pPr>
    </w:p>
    <w:p w14:paraId="39EDA3BE" w14:textId="77777777" w:rsidR="00AB06B7" w:rsidRDefault="00A75249" w:rsidP="001D08F0">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Composite analyses of </w:t>
      </w:r>
      <w:r w:rsidR="001D08F0">
        <w:rPr>
          <w:rFonts w:ascii="Times New Roman" w:hAnsi="Times New Roman" w:cs="Times New Roman"/>
          <w:color w:val="000000" w:themeColor="text1"/>
        </w:rPr>
        <w:t xml:space="preserve">NATL </w:t>
      </w:r>
      <w:r>
        <w:rPr>
          <w:rFonts w:ascii="Times New Roman" w:hAnsi="Times New Roman" w:cs="Times New Roman"/>
          <w:color w:val="000000" w:themeColor="text1"/>
        </w:rPr>
        <w:t>STCs forming in association with a cutoff low reveal that</w:t>
      </w:r>
      <w:r w:rsidR="00AB06B7">
        <w:rPr>
          <w:rFonts w:ascii="Times New Roman" w:hAnsi="Times New Roman" w:cs="Times New Roman"/>
          <w:color w:val="000000" w:themeColor="text1"/>
        </w:rPr>
        <w:t xml:space="preserve"> _________________________.</w:t>
      </w:r>
    </w:p>
    <w:p w14:paraId="2F184128" w14:textId="5018AA3F" w:rsidR="00AB6BF1" w:rsidRDefault="00AB6BF1" w:rsidP="001D08F0">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Discuss </w:t>
      </w:r>
      <w:r w:rsidR="001033FF">
        <w:rPr>
          <w:rFonts w:ascii="Times New Roman" w:hAnsi="Times New Roman" w:cs="Times New Roman"/>
          <w:color w:val="000000" w:themeColor="text1"/>
        </w:rPr>
        <w:t>location, and seasonality</w:t>
      </w:r>
      <w:r w:rsidR="001033FF">
        <w:rPr>
          <w:rFonts w:ascii="Times New Roman" w:hAnsi="Times New Roman" w:cs="Times New Roman"/>
          <w:color w:val="000000" w:themeColor="text1"/>
        </w:rPr>
        <w:t xml:space="preserve"> </w:t>
      </w:r>
      <w:r>
        <w:rPr>
          <w:rFonts w:ascii="Times New Roman" w:hAnsi="Times New Roman" w:cs="Times New Roman"/>
          <w:color w:val="000000" w:themeColor="text1"/>
        </w:rPr>
        <w:t xml:space="preserve">McTaggart-Cowan et </w:t>
      </w:r>
      <w:r w:rsidR="001033FF">
        <w:rPr>
          <w:rFonts w:ascii="Times New Roman" w:hAnsi="Times New Roman" w:cs="Times New Roman"/>
          <w:color w:val="000000" w:themeColor="text1"/>
        </w:rPr>
        <w:t>al. (2013) development pathways</w:t>
      </w:r>
      <w:r>
        <w:rPr>
          <w:rFonts w:ascii="Times New Roman" w:hAnsi="Times New Roman" w:cs="Times New Roman"/>
          <w:color w:val="000000" w:themeColor="text1"/>
        </w:rPr>
        <w:t xml:space="preserve"> </w:t>
      </w:r>
    </w:p>
    <w:p w14:paraId="40778192" w14:textId="55871903" w:rsidR="00AB06B7" w:rsidRDefault="001033FF" w:rsidP="001D08F0">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(Fig. 1</w:t>
      </w:r>
      <w:r>
        <w:rPr>
          <w:rFonts w:ascii="Times New Roman" w:hAnsi="Times New Roman" w:cs="Times New Roman"/>
          <w:color w:val="000000" w:themeColor="text1"/>
        </w:rPr>
        <w:t>1</w:t>
      </w:r>
      <w:r>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AB06B7">
        <w:rPr>
          <w:rFonts w:ascii="Times New Roman" w:hAnsi="Times New Roman" w:cs="Times New Roman"/>
          <w:color w:val="000000" w:themeColor="text1"/>
        </w:rPr>
        <w:t>Summary schematic of cutoff low composite</w:t>
      </w:r>
      <w:r w:rsidR="00A75249">
        <w:rPr>
          <w:rFonts w:ascii="Times New Roman" w:hAnsi="Times New Roman" w:cs="Times New Roman"/>
          <w:color w:val="000000" w:themeColor="text1"/>
        </w:rPr>
        <w:t xml:space="preserve"> </w:t>
      </w:r>
    </w:p>
    <w:p w14:paraId="6188A2A6" w14:textId="77777777" w:rsidR="00AB06B7" w:rsidRDefault="00AB06B7" w:rsidP="00AB06B7">
      <w:pPr>
        <w:pStyle w:val="ListParagraph"/>
        <w:spacing w:line="360" w:lineRule="auto"/>
        <w:ind w:left="360"/>
        <w:rPr>
          <w:rFonts w:ascii="Times New Roman" w:hAnsi="Times New Roman" w:cs="Times New Roman"/>
          <w:color w:val="000000" w:themeColor="text1"/>
        </w:rPr>
      </w:pPr>
    </w:p>
    <w:p w14:paraId="51D4A97F" w14:textId="0585521D" w:rsidR="00AB06B7" w:rsidRDefault="00AB06B7" w:rsidP="00AB06B7">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Composite analyses of NATL STCs forming in association with a meridional trough reveal that _________________________.</w:t>
      </w:r>
    </w:p>
    <w:p w14:paraId="3D3ACF6F" w14:textId="5889BC26" w:rsidR="00AB6BF1" w:rsidRPr="001033FF" w:rsidRDefault="001033FF" w:rsidP="001033FF">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Discuss location, and seasonality McTaggart-Cowan et al. (2013) development pathways </w:t>
      </w:r>
    </w:p>
    <w:p w14:paraId="40FABF67" w14:textId="765F48B0" w:rsidR="00AB6BF1" w:rsidRDefault="001033FF" w:rsidP="00AB06B7">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(Fig. 1</w:t>
      </w:r>
      <w:r>
        <w:rPr>
          <w:rFonts w:ascii="Times New Roman" w:hAnsi="Times New Roman" w:cs="Times New Roman"/>
          <w:color w:val="000000" w:themeColor="text1"/>
        </w:rPr>
        <w:t>2</w:t>
      </w:r>
      <w:r>
        <w:rPr>
          <w:rFonts w:ascii="Times New Roman" w:hAnsi="Times New Roman" w:cs="Times New Roman"/>
          <w:color w:val="000000" w:themeColor="text1"/>
        </w:rPr>
        <w:t xml:space="preserve">) Summary schematic of </w:t>
      </w:r>
      <w:r w:rsidR="00AB6BF1">
        <w:rPr>
          <w:rFonts w:ascii="Times New Roman" w:hAnsi="Times New Roman" w:cs="Times New Roman"/>
          <w:color w:val="000000" w:themeColor="text1"/>
        </w:rPr>
        <w:t>meridional trough</w:t>
      </w:r>
      <w:r w:rsidR="00AB06B7">
        <w:rPr>
          <w:rFonts w:ascii="Times New Roman" w:hAnsi="Times New Roman" w:cs="Times New Roman"/>
          <w:color w:val="000000" w:themeColor="text1"/>
        </w:rPr>
        <w:t xml:space="preserve"> compo</w:t>
      </w:r>
      <w:r>
        <w:rPr>
          <w:rFonts w:ascii="Times New Roman" w:hAnsi="Times New Roman" w:cs="Times New Roman"/>
          <w:color w:val="000000" w:themeColor="text1"/>
        </w:rPr>
        <w:t>site</w:t>
      </w:r>
    </w:p>
    <w:p w14:paraId="76666619" w14:textId="77777777" w:rsidR="00AB6BF1" w:rsidRDefault="00AB6BF1" w:rsidP="00AB6BF1">
      <w:pPr>
        <w:pStyle w:val="ListParagraph"/>
        <w:spacing w:line="360" w:lineRule="auto"/>
        <w:ind w:left="360"/>
        <w:rPr>
          <w:rFonts w:ascii="Times New Roman" w:hAnsi="Times New Roman" w:cs="Times New Roman"/>
          <w:color w:val="000000" w:themeColor="text1"/>
        </w:rPr>
      </w:pPr>
    </w:p>
    <w:p w14:paraId="2DED58A1" w14:textId="3E6F6B0C" w:rsidR="00AB6BF1" w:rsidRDefault="00AB6BF1" w:rsidP="00AB6BF1">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Composite analyses of NATL STCs forming in association with a zonal trough reveal that _________________________.</w:t>
      </w:r>
    </w:p>
    <w:p w14:paraId="677CD96F" w14:textId="77777777" w:rsidR="001033FF" w:rsidRPr="001033FF" w:rsidRDefault="001033FF" w:rsidP="001033FF">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Discuss location, and seasonality McTaggart-Cowan et al. (2013) development pathways </w:t>
      </w:r>
    </w:p>
    <w:p w14:paraId="056DD14A" w14:textId="3BAE6672" w:rsidR="00AB6BF1" w:rsidRDefault="001033FF" w:rsidP="001033FF">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 </w:t>
      </w:r>
      <w:r>
        <w:rPr>
          <w:rFonts w:ascii="Times New Roman" w:hAnsi="Times New Roman" w:cs="Times New Roman"/>
          <w:color w:val="000000" w:themeColor="text1"/>
        </w:rPr>
        <w:t>(Fig. 1</w:t>
      </w:r>
      <w:r>
        <w:rPr>
          <w:rFonts w:ascii="Times New Roman" w:hAnsi="Times New Roman" w:cs="Times New Roman"/>
          <w:color w:val="000000" w:themeColor="text1"/>
        </w:rPr>
        <w:t>3</w:t>
      </w:r>
      <w:r>
        <w:rPr>
          <w:rFonts w:ascii="Times New Roman" w:hAnsi="Times New Roman" w:cs="Times New Roman"/>
          <w:color w:val="000000" w:themeColor="text1"/>
        </w:rPr>
        <w:t xml:space="preserve">) Summary schematic of </w:t>
      </w:r>
      <w:r w:rsidR="00AB6BF1">
        <w:rPr>
          <w:rFonts w:ascii="Times New Roman" w:hAnsi="Times New Roman" w:cs="Times New Roman"/>
          <w:color w:val="000000" w:themeColor="text1"/>
        </w:rPr>
        <w:t>zonal trough composite</w:t>
      </w:r>
    </w:p>
    <w:p w14:paraId="31734365" w14:textId="77777777" w:rsidR="00AB6BF1" w:rsidRDefault="00AB6BF1" w:rsidP="00AB6BF1">
      <w:pPr>
        <w:pStyle w:val="ListParagraph"/>
        <w:spacing w:line="360" w:lineRule="auto"/>
        <w:ind w:left="360"/>
        <w:rPr>
          <w:rFonts w:ascii="Times New Roman" w:hAnsi="Times New Roman" w:cs="Times New Roman"/>
          <w:color w:val="000000" w:themeColor="text1"/>
        </w:rPr>
      </w:pPr>
    </w:p>
    <w:p w14:paraId="09BC1736" w14:textId="5A2D1794" w:rsidR="00AB6BF1" w:rsidRDefault="00AB6BF1" w:rsidP="00AB6BF1">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Composite analyses of NATL STCs forming in association with a subtropical disturbance reveal that _________________________.</w:t>
      </w:r>
    </w:p>
    <w:p w14:paraId="49AD0BB1" w14:textId="77777777" w:rsidR="008A48D8" w:rsidRPr="001033FF" w:rsidRDefault="008A48D8" w:rsidP="008A48D8">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 xml:space="preserve">Discuss location, and seasonality McTaggart-Cowan et al. (2013) development pathways </w:t>
      </w:r>
    </w:p>
    <w:p w14:paraId="6530C72D" w14:textId="11835D6D" w:rsidR="00AB6BF1" w:rsidRDefault="008A48D8" w:rsidP="00AB6BF1">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(Fig. 1</w:t>
      </w:r>
      <w:bookmarkStart w:id="0" w:name="_GoBack"/>
      <w:bookmarkEnd w:id="0"/>
      <w:r>
        <w:rPr>
          <w:rFonts w:ascii="Times New Roman" w:hAnsi="Times New Roman" w:cs="Times New Roman"/>
          <w:color w:val="000000" w:themeColor="text1"/>
        </w:rPr>
        <w:t xml:space="preserve">4) </w:t>
      </w:r>
      <w:r w:rsidR="00AB6BF1">
        <w:rPr>
          <w:rFonts w:ascii="Times New Roman" w:hAnsi="Times New Roman" w:cs="Times New Roman"/>
          <w:color w:val="000000" w:themeColor="text1"/>
        </w:rPr>
        <w:t>Summary schematic of subtropical disturbance composite</w:t>
      </w:r>
    </w:p>
    <w:p w14:paraId="38706F91" w14:textId="0D166473" w:rsidR="00AB6BF1" w:rsidRDefault="00AB6BF1" w:rsidP="00AB6BF1">
      <w:pPr>
        <w:pStyle w:val="ListParagraph"/>
        <w:spacing w:line="360" w:lineRule="auto"/>
        <w:ind w:left="360"/>
        <w:rPr>
          <w:rFonts w:ascii="Times New Roman" w:hAnsi="Times New Roman" w:cs="Times New Roman"/>
          <w:color w:val="000000" w:themeColor="text1"/>
        </w:rPr>
      </w:pPr>
    </w:p>
    <w:p w14:paraId="4C74E7AA" w14:textId="199FF6AA" w:rsidR="00AB6BF1" w:rsidRDefault="001033FF" w:rsidP="00AB6BF1">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Additional conclusions that I haven’t thought of yet…</w:t>
      </w:r>
    </w:p>
    <w:p w14:paraId="28C6A17D" w14:textId="672E080F" w:rsidR="001033FF" w:rsidRPr="00AB6BF1" w:rsidRDefault="001033FF" w:rsidP="00AB6BF1">
      <w:pPr>
        <w:pStyle w:val="ListParagraph"/>
        <w:numPr>
          <w:ilvl w:val="2"/>
          <w:numId w:val="13"/>
        </w:numPr>
        <w:spacing w:line="360" w:lineRule="auto"/>
        <w:ind w:left="360"/>
        <w:rPr>
          <w:rFonts w:ascii="Times New Roman" w:hAnsi="Times New Roman" w:cs="Times New Roman"/>
          <w:color w:val="000000" w:themeColor="text1"/>
        </w:rPr>
      </w:pPr>
      <w:r>
        <w:rPr>
          <w:rFonts w:ascii="Times New Roman" w:hAnsi="Times New Roman" w:cs="Times New Roman"/>
          <w:color w:val="000000" w:themeColor="text1"/>
        </w:rPr>
        <w:t>Suggest possible differences in predictability associated with different categories</w:t>
      </w:r>
    </w:p>
    <w:sectPr w:rsidR="001033FF" w:rsidRPr="00AB6BF1" w:rsidSect="0033073E">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83435D" w14:textId="77777777" w:rsidR="00D93CD8" w:rsidRDefault="00D93CD8" w:rsidP="00825199">
      <w:r>
        <w:separator/>
      </w:r>
    </w:p>
  </w:endnote>
  <w:endnote w:type="continuationSeparator" w:id="0">
    <w:p w14:paraId="0561824E" w14:textId="77777777" w:rsidR="00D93CD8" w:rsidRDefault="00D93CD8" w:rsidP="008251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30EF72" w14:textId="77777777" w:rsidR="00D93CD8" w:rsidRDefault="00D93CD8" w:rsidP="008251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EAC89D7" w14:textId="77777777" w:rsidR="00D93CD8" w:rsidRDefault="00D93CD8">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8BC46A" w14:textId="77777777" w:rsidR="00D93CD8" w:rsidRPr="00825199" w:rsidRDefault="00D93CD8" w:rsidP="00825199">
    <w:pPr>
      <w:pStyle w:val="Footer"/>
      <w:framePr w:wrap="around" w:vAnchor="text" w:hAnchor="margin" w:xAlign="center" w:y="1"/>
      <w:rPr>
        <w:rStyle w:val="PageNumber"/>
        <w:rFonts w:ascii="Times New Roman" w:hAnsi="Times New Roman" w:cs="Times New Roman"/>
      </w:rPr>
    </w:pPr>
    <w:r w:rsidRPr="00825199">
      <w:rPr>
        <w:rStyle w:val="PageNumber"/>
        <w:rFonts w:ascii="Times New Roman" w:hAnsi="Times New Roman" w:cs="Times New Roman"/>
      </w:rPr>
      <w:fldChar w:fldCharType="begin"/>
    </w:r>
    <w:r w:rsidRPr="00825199">
      <w:rPr>
        <w:rStyle w:val="PageNumber"/>
        <w:rFonts w:ascii="Times New Roman" w:hAnsi="Times New Roman" w:cs="Times New Roman"/>
      </w:rPr>
      <w:instrText xml:space="preserve">PAGE  </w:instrText>
    </w:r>
    <w:r w:rsidRPr="00825199">
      <w:rPr>
        <w:rStyle w:val="PageNumber"/>
        <w:rFonts w:ascii="Times New Roman" w:hAnsi="Times New Roman" w:cs="Times New Roman"/>
      </w:rPr>
      <w:fldChar w:fldCharType="separate"/>
    </w:r>
    <w:r w:rsidR="008A48D8">
      <w:rPr>
        <w:rStyle w:val="PageNumber"/>
        <w:rFonts w:ascii="Times New Roman" w:hAnsi="Times New Roman" w:cs="Times New Roman"/>
        <w:noProof/>
      </w:rPr>
      <w:t>4</w:t>
    </w:r>
    <w:r w:rsidRPr="00825199">
      <w:rPr>
        <w:rStyle w:val="PageNumber"/>
        <w:rFonts w:ascii="Times New Roman" w:hAnsi="Times New Roman" w:cs="Times New Roman"/>
      </w:rPr>
      <w:fldChar w:fldCharType="end"/>
    </w:r>
  </w:p>
  <w:p w14:paraId="1B62FCDF" w14:textId="77777777" w:rsidR="00D93CD8" w:rsidRDefault="00D93CD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7EF368" w14:textId="77777777" w:rsidR="00D93CD8" w:rsidRDefault="00D93CD8" w:rsidP="00825199">
      <w:r>
        <w:separator/>
      </w:r>
    </w:p>
  </w:footnote>
  <w:footnote w:type="continuationSeparator" w:id="0">
    <w:p w14:paraId="643CC093" w14:textId="77777777" w:rsidR="00D93CD8" w:rsidRDefault="00D93CD8" w:rsidP="0082519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D869DC"/>
    <w:multiLevelType w:val="hybridMultilevel"/>
    <w:tmpl w:val="F57AF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2E0848"/>
    <w:multiLevelType w:val="hybridMultilevel"/>
    <w:tmpl w:val="532E73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18559AB"/>
    <w:multiLevelType w:val="hybridMultilevel"/>
    <w:tmpl w:val="B85299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5645407"/>
    <w:multiLevelType w:val="hybridMultilevel"/>
    <w:tmpl w:val="5792DE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FC20ADB"/>
    <w:multiLevelType w:val="hybridMultilevel"/>
    <w:tmpl w:val="CA2A53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462FA0"/>
    <w:multiLevelType w:val="hybridMultilevel"/>
    <w:tmpl w:val="1D5CD8A6"/>
    <w:lvl w:ilvl="0" w:tplc="790402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B021A7A"/>
    <w:multiLevelType w:val="hybridMultilevel"/>
    <w:tmpl w:val="A5D084C8"/>
    <w:lvl w:ilvl="0" w:tplc="0409000F">
      <w:start w:val="1"/>
      <w:numFmt w:val="decimal"/>
      <w:lvlText w:val="%1."/>
      <w:lvlJc w:val="left"/>
      <w:pPr>
        <w:ind w:left="720" w:hanging="360"/>
      </w:pPr>
    </w:lvl>
    <w:lvl w:ilvl="1" w:tplc="7ECCFD2A">
      <w:start w:val="1"/>
      <w:numFmt w:val="lowerLetter"/>
      <w:lvlText w:val="%2."/>
      <w:lvlJc w:val="left"/>
      <w:pPr>
        <w:ind w:left="360" w:hanging="360"/>
      </w:pPr>
      <w:rPr>
        <w:rFonts w:hint="default"/>
      </w:rPr>
    </w:lvl>
    <w:lvl w:ilvl="2" w:tplc="4B52EA42">
      <w:start w:val="1"/>
      <w:numFmt w:val="lowerRoman"/>
      <w:lvlText w:val="%3."/>
      <w:lvlJc w:val="right"/>
      <w:pPr>
        <w:ind w:left="2160" w:hanging="180"/>
      </w:pPr>
      <w:rPr>
        <w:color w:val="000000" w:themeColor="text1"/>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E9703B8"/>
    <w:multiLevelType w:val="hybridMultilevel"/>
    <w:tmpl w:val="8F1A7E24"/>
    <w:lvl w:ilvl="0" w:tplc="04090001">
      <w:start w:val="1"/>
      <w:numFmt w:val="bullet"/>
      <w:lvlText w:val=""/>
      <w:lvlJc w:val="left"/>
      <w:pPr>
        <w:ind w:left="720" w:hanging="360"/>
      </w:pPr>
      <w:rPr>
        <w:rFonts w:ascii="Symbol" w:hAnsi="Symbol" w:hint="default"/>
      </w:rPr>
    </w:lvl>
    <w:lvl w:ilvl="1" w:tplc="7ECCFD2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BA7380A"/>
    <w:multiLevelType w:val="hybridMultilevel"/>
    <w:tmpl w:val="38B616E4"/>
    <w:lvl w:ilvl="0" w:tplc="04090001">
      <w:start w:val="1"/>
      <w:numFmt w:val="bullet"/>
      <w:lvlText w:val=""/>
      <w:lvlJc w:val="left"/>
      <w:pPr>
        <w:ind w:left="720" w:hanging="360"/>
      </w:pPr>
      <w:rPr>
        <w:rFonts w:ascii="Symbol" w:hAnsi="Symbol" w:hint="default"/>
      </w:rPr>
    </w:lvl>
    <w:lvl w:ilvl="1" w:tplc="7ECCFD2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EC143D8"/>
    <w:multiLevelType w:val="hybridMultilevel"/>
    <w:tmpl w:val="9A80B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593B97"/>
    <w:multiLevelType w:val="hybridMultilevel"/>
    <w:tmpl w:val="7D8E4A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E5676DE"/>
    <w:multiLevelType w:val="hybridMultilevel"/>
    <w:tmpl w:val="F4D06D00"/>
    <w:lvl w:ilvl="0" w:tplc="04090001">
      <w:start w:val="1"/>
      <w:numFmt w:val="bullet"/>
      <w:lvlText w:val=""/>
      <w:lvlJc w:val="left"/>
      <w:pPr>
        <w:ind w:left="720" w:hanging="360"/>
      </w:pPr>
      <w:rPr>
        <w:rFonts w:ascii="Symbol" w:hAnsi="Symbol" w:hint="default"/>
      </w:rPr>
    </w:lvl>
    <w:lvl w:ilvl="1" w:tplc="7ECCFD2A">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4B13330"/>
    <w:multiLevelType w:val="hybridMultilevel"/>
    <w:tmpl w:val="979CA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405C0A"/>
    <w:multiLevelType w:val="hybridMultilevel"/>
    <w:tmpl w:val="45043A4A"/>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01C291C"/>
    <w:multiLevelType w:val="hybridMultilevel"/>
    <w:tmpl w:val="7E8C5E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6317F05"/>
    <w:multiLevelType w:val="hybridMultilevel"/>
    <w:tmpl w:val="60DA2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BBF11FF"/>
    <w:multiLevelType w:val="hybridMultilevel"/>
    <w:tmpl w:val="295E738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6"/>
  </w:num>
  <w:num w:numId="4">
    <w:abstractNumId w:val="1"/>
  </w:num>
  <w:num w:numId="5">
    <w:abstractNumId w:val="14"/>
  </w:num>
  <w:num w:numId="6">
    <w:abstractNumId w:val="4"/>
  </w:num>
  <w:num w:numId="7">
    <w:abstractNumId w:val="2"/>
  </w:num>
  <w:num w:numId="8">
    <w:abstractNumId w:val="9"/>
  </w:num>
  <w:num w:numId="9">
    <w:abstractNumId w:val="5"/>
  </w:num>
  <w:num w:numId="10">
    <w:abstractNumId w:val="0"/>
  </w:num>
  <w:num w:numId="11">
    <w:abstractNumId w:val="12"/>
  </w:num>
  <w:num w:numId="12">
    <w:abstractNumId w:val="3"/>
  </w:num>
  <w:num w:numId="13">
    <w:abstractNumId w:val="6"/>
  </w:num>
  <w:num w:numId="14">
    <w:abstractNumId w:val="13"/>
  </w:num>
  <w:num w:numId="15">
    <w:abstractNumId w:val="7"/>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6A84"/>
    <w:rsid w:val="000010C2"/>
    <w:rsid w:val="00005259"/>
    <w:rsid w:val="00011987"/>
    <w:rsid w:val="00013847"/>
    <w:rsid w:val="0002155D"/>
    <w:rsid w:val="00021CA5"/>
    <w:rsid w:val="000220F7"/>
    <w:rsid w:val="000227C8"/>
    <w:rsid w:val="0002499F"/>
    <w:rsid w:val="00026A5D"/>
    <w:rsid w:val="0003016E"/>
    <w:rsid w:val="00031360"/>
    <w:rsid w:val="00034B14"/>
    <w:rsid w:val="00051435"/>
    <w:rsid w:val="00054D88"/>
    <w:rsid w:val="00060456"/>
    <w:rsid w:val="00067760"/>
    <w:rsid w:val="00067E2C"/>
    <w:rsid w:val="000743B0"/>
    <w:rsid w:val="0008076A"/>
    <w:rsid w:val="0008352A"/>
    <w:rsid w:val="00083DB1"/>
    <w:rsid w:val="00084A95"/>
    <w:rsid w:val="0009182F"/>
    <w:rsid w:val="00095D91"/>
    <w:rsid w:val="000A2833"/>
    <w:rsid w:val="000A2B02"/>
    <w:rsid w:val="000A51FE"/>
    <w:rsid w:val="000A7890"/>
    <w:rsid w:val="000B06F2"/>
    <w:rsid w:val="000C1796"/>
    <w:rsid w:val="000D193E"/>
    <w:rsid w:val="000D334F"/>
    <w:rsid w:val="000D6528"/>
    <w:rsid w:val="000D7459"/>
    <w:rsid w:val="000E4BED"/>
    <w:rsid w:val="000E6711"/>
    <w:rsid w:val="000F1093"/>
    <w:rsid w:val="000F669F"/>
    <w:rsid w:val="0010085C"/>
    <w:rsid w:val="001033FF"/>
    <w:rsid w:val="00107306"/>
    <w:rsid w:val="00113339"/>
    <w:rsid w:val="00114469"/>
    <w:rsid w:val="00115876"/>
    <w:rsid w:val="00117349"/>
    <w:rsid w:val="00121003"/>
    <w:rsid w:val="00121A5A"/>
    <w:rsid w:val="00123D50"/>
    <w:rsid w:val="00132825"/>
    <w:rsid w:val="001437D5"/>
    <w:rsid w:val="001438D1"/>
    <w:rsid w:val="00152FA0"/>
    <w:rsid w:val="00153CDE"/>
    <w:rsid w:val="001563DF"/>
    <w:rsid w:val="0016027A"/>
    <w:rsid w:val="001604DA"/>
    <w:rsid w:val="001613BC"/>
    <w:rsid w:val="001704D0"/>
    <w:rsid w:val="00194E35"/>
    <w:rsid w:val="001958FD"/>
    <w:rsid w:val="001977F8"/>
    <w:rsid w:val="001A3F43"/>
    <w:rsid w:val="001A46F0"/>
    <w:rsid w:val="001A5F25"/>
    <w:rsid w:val="001A7DDC"/>
    <w:rsid w:val="001B1DA3"/>
    <w:rsid w:val="001B46D3"/>
    <w:rsid w:val="001B539E"/>
    <w:rsid w:val="001C28B7"/>
    <w:rsid w:val="001C453C"/>
    <w:rsid w:val="001D08F0"/>
    <w:rsid w:val="001D411B"/>
    <w:rsid w:val="001F2980"/>
    <w:rsid w:val="002042DC"/>
    <w:rsid w:val="00211C6D"/>
    <w:rsid w:val="00213E6F"/>
    <w:rsid w:val="00230E7B"/>
    <w:rsid w:val="00233511"/>
    <w:rsid w:val="002373BC"/>
    <w:rsid w:val="00244D40"/>
    <w:rsid w:val="002453CB"/>
    <w:rsid w:val="00246CC3"/>
    <w:rsid w:val="00253459"/>
    <w:rsid w:val="00256BCA"/>
    <w:rsid w:val="00262D1B"/>
    <w:rsid w:val="00274A7F"/>
    <w:rsid w:val="00275BB3"/>
    <w:rsid w:val="002823CD"/>
    <w:rsid w:val="002833E7"/>
    <w:rsid w:val="00283841"/>
    <w:rsid w:val="00284A92"/>
    <w:rsid w:val="00290324"/>
    <w:rsid w:val="00297033"/>
    <w:rsid w:val="002B42CC"/>
    <w:rsid w:val="002B4C13"/>
    <w:rsid w:val="002B72ED"/>
    <w:rsid w:val="002C11C7"/>
    <w:rsid w:val="002C5327"/>
    <w:rsid w:val="002C71A8"/>
    <w:rsid w:val="002C7AA4"/>
    <w:rsid w:val="002C7B32"/>
    <w:rsid w:val="002D1722"/>
    <w:rsid w:val="002D44CE"/>
    <w:rsid w:val="002D62AF"/>
    <w:rsid w:val="002E1BA4"/>
    <w:rsid w:val="002E1D45"/>
    <w:rsid w:val="002E36B5"/>
    <w:rsid w:val="00306D7B"/>
    <w:rsid w:val="0031402B"/>
    <w:rsid w:val="00314BD8"/>
    <w:rsid w:val="0031745F"/>
    <w:rsid w:val="0032179F"/>
    <w:rsid w:val="0032204F"/>
    <w:rsid w:val="003266EE"/>
    <w:rsid w:val="0033073E"/>
    <w:rsid w:val="00333A69"/>
    <w:rsid w:val="00337264"/>
    <w:rsid w:val="00345AA6"/>
    <w:rsid w:val="0035391C"/>
    <w:rsid w:val="003552EA"/>
    <w:rsid w:val="00362424"/>
    <w:rsid w:val="00364515"/>
    <w:rsid w:val="00366224"/>
    <w:rsid w:val="00366310"/>
    <w:rsid w:val="003664DF"/>
    <w:rsid w:val="00384228"/>
    <w:rsid w:val="00386390"/>
    <w:rsid w:val="003A14C0"/>
    <w:rsid w:val="003A5A2A"/>
    <w:rsid w:val="003B01E8"/>
    <w:rsid w:val="003B132A"/>
    <w:rsid w:val="003C26BF"/>
    <w:rsid w:val="003D4E6E"/>
    <w:rsid w:val="003D5124"/>
    <w:rsid w:val="003E1188"/>
    <w:rsid w:val="003E3C01"/>
    <w:rsid w:val="003E4532"/>
    <w:rsid w:val="003F01C6"/>
    <w:rsid w:val="00400519"/>
    <w:rsid w:val="00404BAD"/>
    <w:rsid w:val="004213AC"/>
    <w:rsid w:val="00423B4C"/>
    <w:rsid w:val="0043278A"/>
    <w:rsid w:val="004451E7"/>
    <w:rsid w:val="00446318"/>
    <w:rsid w:val="00456CE5"/>
    <w:rsid w:val="004609E9"/>
    <w:rsid w:val="004632A7"/>
    <w:rsid w:val="00466839"/>
    <w:rsid w:val="00473ED0"/>
    <w:rsid w:val="00481FA6"/>
    <w:rsid w:val="00486AC4"/>
    <w:rsid w:val="00494931"/>
    <w:rsid w:val="004954E2"/>
    <w:rsid w:val="004A6054"/>
    <w:rsid w:val="004A70B7"/>
    <w:rsid w:val="004A75C2"/>
    <w:rsid w:val="004B301E"/>
    <w:rsid w:val="004B7940"/>
    <w:rsid w:val="004C02E0"/>
    <w:rsid w:val="004C3AAB"/>
    <w:rsid w:val="004D23F5"/>
    <w:rsid w:val="004D6A84"/>
    <w:rsid w:val="004E2DC2"/>
    <w:rsid w:val="004E4348"/>
    <w:rsid w:val="004E7205"/>
    <w:rsid w:val="004F0863"/>
    <w:rsid w:val="004F141E"/>
    <w:rsid w:val="004F3BB9"/>
    <w:rsid w:val="004F6263"/>
    <w:rsid w:val="00500F33"/>
    <w:rsid w:val="005238C8"/>
    <w:rsid w:val="00526539"/>
    <w:rsid w:val="00527663"/>
    <w:rsid w:val="00535870"/>
    <w:rsid w:val="005376C6"/>
    <w:rsid w:val="00545606"/>
    <w:rsid w:val="005460DC"/>
    <w:rsid w:val="005475B8"/>
    <w:rsid w:val="00551FAB"/>
    <w:rsid w:val="00555BED"/>
    <w:rsid w:val="00557C4B"/>
    <w:rsid w:val="0056300C"/>
    <w:rsid w:val="005655D9"/>
    <w:rsid w:val="005711AE"/>
    <w:rsid w:val="00591A09"/>
    <w:rsid w:val="005A6D6F"/>
    <w:rsid w:val="005B176C"/>
    <w:rsid w:val="005B2B44"/>
    <w:rsid w:val="005B5F4D"/>
    <w:rsid w:val="005E1D88"/>
    <w:rsid w:val="005F1A1A"/>
    <w:rsid w:val="0060036A"/>
    <w:rsid w:val="00613E3D"/>
    <w:rsid w:val="00617034"/>
    <w:rsid w:val="006249B6"/>
    <w:rsid w:val="006249C1"/>
    <w:rsid w:val="00625999"/>
    <w:rsid w:val="006275FF"/>
    <w:rsid w:val="006334FD"/>
    <w:rsid w:val="006379B8"/>
    <w:rsid w:val="00637DD5"/>
    <w:rsid w:val="0064790B"/>
    <w:rsid w:val="006500FF"/>
    <w:rsid w:val="00660CBE"/>
    <w:rsid w:val="00662081"/>
    <w:rsid w:val="006672C9"/>
    <w:rsid w:val="00673328"/>
    <w:rsid w:val="006819B8"/>
    <w:rsid w:val="006821F9"/>
    <w:rsid w:val="00682866"/>
    <w:rsid w:val="0068389B"/>
    <w:rsid w:val="00690C23"/>
    <w:rsid w:val="00696057"/>
    <w:rsid w:val="006B1B99"/>
    <w:rsid w:val="006D3D24"/>
    <w:rsid w:val="006D70E5"/>
    <w:rsid w:val="006F0BFE"/>
    <w:rsid w:val="006F4358"/>
    <w:rsid w:val="006F6CCC"/>
    <w:rsid w:val="00702304"/>
    <w:rsid w:val="0070377C"/>
    <w:rsid w:val="00707069"/>
    <w:rsid w:val="00707FDC"/>
    <w:rsid w:val="007104D6"/>
    <w:rsid w:val="007107C5"/>
    <w:rsid w:val="00714CE7"/>
    <w:rsid w:val="0072074F"/>
    <w:rsid w:val="0073045C"/>
    <w:rsid w:val="00742C0B"/>
    <w:rsid w:val="0074312E"/>
    <w:rsid w:val="0074667E"/>
    <w:rsid w:val="00760723"/>
    <w:rsid w:val="00761B26"/>
    <w:rsid w:val="00762379"/>
    <w:rsid w:val="00763D12"/>
    <w:rsid w:val="007654EB"/>
    <w:rsid w:val="00775CDB"/>
    <w:rsid w:val="0077651B"/>
    <w:rsid w:val="0078660A"/>
    <w:rsid w:val="00791C29"/>
    <w:rsid w:val="00791CCE"/>
    <w:rsid w:val="00792AED"/>
    <w:rsid w:val="007A444A"/>
    <w:rsid w:val="007B4F6E"/>
    <w:rsid w:val="007B5218"/>
    <w:rsid w:val="007B5FC2"/>
    <w:rsid w:val="007B7071"/>
    <w:rsid w:val="007C02D9"/>
    <w:rsid w:val="007C1D23"/>
    <w:rsid w:val="007D318A"/>
    <w:rsid w:val="007D625E"/>
    <w:rsid w:val="007D62EC"/>
    <w:rsid w:val="007D6622"/>
    <w:rsid w:val="007E02E9"/>
    <w:rsid w:val="007E0719"/>
    <w:rsid w:val="007E192B"/>
    <w:rsid w:val="007E365D"/>
    <w:rsid w:val="007E6B7C"/>
    <w:rsid w:val="007E7FDD"/>
    <w:rsid w:val="007F23FA"/>
    <w:rsid w:val="00800D2B"/>
    <w:rsid w:val="00801A80"/>
    <w:rsid w:val="00805D6E"/>
    <w:rsid w:val="00806A4D"/>
    <w:rsid w:val="00810D89"/>
    <w:rsid w:val="00820DFE"/>
    <w:rsid w:val="00825199"/>
    <w:rsid w:val="0083094A"/>
    <w:rsid w:val="008415A9"/>
    <w:rsid w:val="00851B16"/>
    <w:rsid w:val="0085480D"/>
    <w:rsid w:val="00863417"/>
    <w:rsid w:val="008659B3"/>
    <w:rsid w:val="0087370B"/>
    <w:rsid w:val="008907D6"/>
    <w:rsid w:val="00892152"/>
    <w:rsid w:val="008943EE"/>
    <w:rsid w:val="00894DDA"/>
    <w:rsid w:val="00894F5B"/>
    <w:rsid w:val="008A48D8"/>
    <w:rsid w:val="008B65DE"/>
    <w:rsid w:val="008B77B2"/>
    <w:rsid w:val="008D33A6"/>
    <w:rsid w:val="008E4070"/>
    <w:rsid w:val="008F57FC"/>
    <w:rsid w:val="009038D2"/>
    <w:rsid w:val="00911568"/>
    <w:rsid w:val="0091234C"/>
    <w:rsid w:val="009209D0"/>
    <w:rsid w:val="00921E5E"/>
    <w:rsid w:val="0092312A"/>
    <w:rsid w:val="00924CB5"/>
    <w:rsid w:val="009272C5"/>
    <w:rsid w:val="0092739C"/>
    <w:rsid w:val="00930FB2"/>
    <w:rsid w:val="009343A9"/>
    <w:rsid w:val="00934CB7"/>
    <w:rsid w:val="00936B16"/>
    <w:rsid w:val="009418C8"/>
    <w:rsid w:val="009421A7"/>
    <w:rsid w:val="00942C19"/>
    <w:rsid w:val="0095025B"/>
    <w:rsid w:val="00955CF6"/>
    <w:rsid w:val="00956FBA"/>
    <w:rsid w:val="00960632"/>
    <w:rsid w:val="0097643F"/>
    <w:rsid w:val="00981E58"/>
    <w:rsid w:val="00994E74"/>
    <w:rsid w:val="0099506B"/>
    <w:rsid w:val="009A0578"/>
    <w:rsid w:val="009A28C3"/>
    <w:rsid w:val="009A3F4B"/>
    <w:rsid w:val="009A478D"/>
    <w:rsid w:val="009A5B7F"/>
    <w:rsid w:val="009A6981"/>
    <w:rsid w:val="009A792A"/>
    <w:rsid w:val="009B0DC0"/>
    <w:rsid w:val="009B0F1F"/>
    <w:rsid w:val="009B2C1B"/>
    <w:rsid w:val="009B4B74"/>
    <w:rsid w:val="009B663D"/>
    <w:rsid w:val="009C27DD"/>
    <w:rsid w:val="009C2A9B"/>
    <w:rsid w:val="009C5982"/>
    <w:rsid w:val="009D2FE2"/>
    <w:rsid w:val="009D6DBC"/>
    <w:rsid w:val="009E05E5"/>
    <w:rsid w:val="009E0FC1"/>
    <w:rsid w:val="009E1E10"/>
    <w:rsid w:val="009E2DAA"/>
    <w:rsid w:val="009E6EB7"/>
    <w:rsid w:val="00A1688C"/>
    <w:rsid w:val="00A2670B"/>
    <w:rsid w:val="00A2754A"/>
    <w:rsid w:val="00A337EA"/>
    <w:rsid w:val="00A36ECB"/>
    <w:rsid w:val="00A37555"/>
    <w:rsid w:val="00A4180B"/>
    <w:rsid w:val="00A41CA1"/>
    <w:rsid w:val="00A433F7"/>
    <w:rsid w:val="00A435F6"/>
    <w:rsid w:val="00A46005"/>
    <w:rsid w:val="00A46DB8"/>
    <w:rsid w:val="00A5505B"/>
    <w:rsid w:val="00A607E3"/>
    <w:rsid w:val="00A63075"/>
    <w:rsid w:val="00A65800"/>
    <w:rsid w:val="00A74790"/>
    <w:rsid w:val="00A75249"/>
    <w:rsid w:val="00A85BCD"/>
    <w:rsid w:val="00A86AA0"/>
    <w:rsid w:val="00A86DD1"/>
    <w:rsid w:val="00A87AB7"/>
    <w:rsid w:val="00A87BF2"/>
    <w:rsid w:val="00A87EEC"/>
    <w:rsid w:val="00A929BF"/>
    <w:rsid w:val="00AA0AFE"/>
    <w:rsid w:val="00AA4CBE"/>
    <w:rsid w:val="00AA677B"/>
    <w:rsid w:val="00AB06B7"/>
    <w:rsid w:val="00AB37B8"/>
    <w:rsid w:val="00AB6BF1"/>
    <w:rsid w:val="00AC5F0C"/>
    <w:rsid w:val="00AD0801"/>
    <w:rsid w:val="00AD4527"/>
    <w:rsid w:val="00AE0AD4"/>
    <w:rsid w:val="00AE176E"/>
    <w:rsid w:val="00AE2004"/>
    <w:rsid w:val="00AE3444"/>
    <w:rsid w:val="00AF6567"/>
    <w:rsid w:val="00B06087"/>
    <w:rsid w:val="00B075D8"/>
    <w:rsid w:val="00B17B02"/>
    <w:rsid w:val="00B212E2"/>
    <w:rsid w:val="00B22830"/>
    <w:rsid w:val="00B30AF7"/>
    <w:rsid w:val="00B32C2F"/>
    <w:rsid w:val="00B3656F"/>
    <w:rsid w:val="00B40E80"/>
    <w:rsid w:val="00B42D4D"/>
    <w:rsid w:val="00B43340"/>
    <w:rsid w:val="00B5025B"/>
    <w:rsid w:val="00B51DF3"/>
    <w:rsid w:val="00B552A9"/>
    <w:rsid w:val="00B55F2A"/>
    <w:rsid w:val="00B66E24"/>
    <w:rsid w:val="00B71D61"/>
    <w:rsid w:val="00B7544E"/>
    <w:rsid w:val="00B93C1A"/>
    <w:rsid w:val="00B97D85"/>
    <w:rsid w:val="00BA2825"/>
    <w:rsid w:val="00BB4E84"/>
    <w:rsid w:val="00BD0BD4"/>
    <w:rsid w:val="00BD107C"/>
    <w:rsid w:val="00BD4630"/>
    <w:rsid w:val="00BD5312"/>
    <w:rsid w:val="00BE3577"/>
    <w:rsid w:val="00BF0545"/>
    <w:rsid w:val="00BF3B34"/>
    <w:rsid w:val="00C029EB"/>
    <w:rsid w:val="00C038C4"/>
    <w:rsid w:val="00C06973"/>
    <w:rsid w:val="00C07BD0"/>
    <w:rsid w:val="00C24020"/>
    <w:rsid w:val="00C26411"/>
    <w:rsid w:val="00C34674"/>
    <w:rsid w:val="00C34BAE"/>
    <w:rsid w:val="00C35EF0"/>
    <w:rsid w:val="00C40CA7"/>
    <w:rsid w:val="00C4307D"/>
    <w:rsid w:val="00C433BB"/>
    <w:rsid w:val="00C43F7F"/>
    <w:rsid w:val="00C45D19"/>
    <w:rsid w:val="00C510B7"/>
    <w:rsid w:val="00C517CA"/>
    <w:rsid w:val="00C53895"/>
    <w:rsid w:val="00C55EAB"/>
    <w:rsid w:val="00C6544D"/>
    <w:rsid w:val="00C65634"/>
    <w:rsid w:val="00C65FEA"/>
    <w:rsid w:val="00C74A68"/>
    <w:rsid w:val="00C7666C"/>
    <w:rsid w:val="00C83242"/>
    <w:rsid w:val="00C92705"/>
    <w:rsid w:val="00CA0E79"/>
    <w:rsid w:val="00CA3A52"/>
    <w:rsid w:val="00CA47A4"/>
    <w:rsid w:val="00CC0CCF"/>
    <w:rsid w:val="00CC15AD"/>
    <w:rsid w:val="00CC79E0"/>
    <w:rsid w:val="00CD10CA"/>
    <w:rsid w:val="00CD755B"/>
    <w:rsid w:val="00CE12E7"/>
    <w:rsid w:val="00CE2E9F"/>
    <w:rsid w:val="00CE3174"/>
    <w:rsid w:val="00D0004C"/>
    <w:rsid w:val="00D01988"/>
    <w:rsid w:val="00D06DB6"/>
    <w:rsid w:val="00D21CEE"/>
    <w:rsid w:val="00D24F62"/>
    <w:rsid w:val="00D25469"/>
    <w:rsid w:val="00D25DFE"/>
    <w:rsid w:val="00D26BA9"/>
    <w:rsid w:val="00D446B0"/>
    <w:rsid w:val="00D450D6"/>
    <w:rsid w:val="00D509CA"/>
    <w:rsid w:val="00D52BB7"/>
    <w:rsid w:val="00D55B42"/>
    <w:rsid w:val="00D60EE5"/>
    <w:rsid w:val="00D66179"/>
    <w:rsid w:val="00D6633C"/>
    <w:rsid w:val="00D67547"/>
    <w:rsid w:val="00D75502"/>
    <w:rsid w:val="00D77142"/>
    <w:rsid w:val="00D822AE"/>
    <w:rsid w:val="00D93CD8"/>
    <w:rsid w:val="00D971C4"/>
    <w:rsid w:val="00DA0ECA"/>
    <w:rsid w:val="00DA2F51"/>
    <w:rsid w:val="00DA5018"/>
    <w:rsid w:val="00DB05DC"/>
    <w:rsid w:val="00DB39A1"/>
    <w:rsid w:val="00DB4D9E"/>
    <w:rsid w:val="00DD2DDA"/>
    <w:rsid w:val="00DD5EB4"/>
    <w:rsid w:val="00DE4984"/>
    <w:rsid w:val="00DF30DD"/>
    <w:rsid w:val="00E1597B"/>
    <w:rsid w:val="00E23FEE"/>
    <w:rsid w:val="00E30340"/>
    <w:rsid w:val="00E31574"/>
    <w:rsid w:val="00E353EB"/>
    <w:rsid w:val="00E3684C"/>
    <w:rsid w:val="00E36F43"/>
    <w:rsid w:val="00E42366"/>
    <w:rsid w:val="00E431F2"/>
    <w:rsid w:val="00E53F8F"/>
    <w:rsid w:val="00E5451B"/>
    <w:rsid w:val="00E61851"/>
    <w:rsid w:val="00E63D4F"/>
    <w:rsid w:val="00E67340"/>
    <w:rsid w:val="00E707BB"/>
    <w:rsid w:val="00E768FD"/>
    <w:rsid w:val="00E93173"/>
    <w:rsid w:val="00E97ED2"/>
    <w:rsid w:val="00EA19A3"/>
    <w:rsid w:val="00EA19CF"/>
    <w:rsid w:val="00EA5646"/>
    <w:rsid w:val="00EA58F5"/>
    <w:rsid w:val="00EA77D8"/>
    <w:rsid w:val="00EB501D"/>
    <w:rsid w:val="00EB51DE"/>
    <w:rsid w:val="00EB637B"/>
    <w:rsid w:val="00EB77AC"/>
    <w:rsid w:val="00EC6128"/>
    <w:rsid w:val="00EC7413"/>
    <w:rsid w:val="00EE62BB"/>
    <w:rsid w:val="00EF1DE8"/>
    <w:rsid w:val="00F076B7"/>
    <w:rsid w:val="00F10129"/>
    <w:rsid w:val="00F26281"/>
    <w:rsid w:val="00F27376"/>
    <w:rsid w:val="00F3136F"/>
    <w:rsid w:val="00F3506D"/>
    <w:rsid w:val="00F40B8F"/>
    <w:rsid w:val="00F477E6"/>
    <w:rsid w:val="00F729E7"/>
    <w:rsid w:val="00F76988"/>
    <w:rsid w:val="00F836B0"/>
    <w:rsid w:val="00F85ACB"/>
    <w:rsid w:val="00F96507"/>
    <w:rsid w:val="00FA1B8C"/>
    <w:rsid w:val="00FB1D02"/>
    <w:rsid w:val="00FC1C8A"/>
    <w:rsid w:val="00FC5D2A"/>
    <w:rsid w:val="00FC7E2B"/>
    <w:rsid w:val="00FD38C8"/>
    <w:rsid w:val="00FD648A"/>
    <w:rsid w:val="00FE6800"/>
    <w:rsid w:val="00FF1853"/>
    <w:rsid w:val="00FF56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365D64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A84"/>
    <w:pPr>
      <w:ind w:left="720"/>
      <w:contextualSpacing/>
    </w:pPr>
  </w:style>
  <w:style w:type="paragraph" w:styleId="Footer">
    <w:name w:val="footer"/>
    <w:basedOn w:val="Normal"/>
    <w:link w:val="FooterChar"/>
    <w:uiPriority w:val="99"/>
    <w:unhideWhenUsed/>
    <w:rsid w:val="00825199"/>
    <w:pPr>
      <w:tabs>
        <w:tab w:val="center" w:pos="4320"/>
        <w:tab w:val="right" w:pos="8640"/>
      </w:tabs>
    </w:pPr>
  </w:style>
  <w:style w:type="character" w:customStyle="1" w:styleId="FooterChar">
    <w:name w:val="Footer Char"/>
    <w:basedOn w:val="DefaultParagraphFont"/>
    <w:link w:val="Footer"/>
    <w:uiPriority w:val="99"/>
    <w:rsid w:val="00825199"/>
  </w:style>
  <w:style w:type="character" w:styleId="PageNumber">
    <w:name w:val="page number"/>
    <w:basedOn w:val="DefaultParagraphFont"/>
    <w:uiPriority w:val="99"/>
    <w:semiHidden/>
    <w:unhideWhenUsed/>
    <w:rsid w:val="00825199"/>
  </w:style>
  <w:style w:type="paragraph" w:styleId="Header">
    <w:name w:val="header"/>
    <w:basedOn w:val="Normal"/>
    <w:link w:val="HeaderChar"/>
    <w:uiPriority w:val="99"/>
    <w:unhideWhenUsed/>
    <w:rsid w:val="00825199"/>
    <w:pPr>
      <w:tabs>
        <w:tab w:val="center" w:pos="4320"/>
        <w:tab w:val="right" w:pos="8640"/>
      </w:tabs>
    </w:pPr>
  </w:style>
  <w:style w:type="character" w:customStyle="1" w:styleId="HeaderChar">
    <w:name w:val="Header Char"/>
    <w:basedOn w:val="DefaultParagraphFont"/>
    <w:link w:val="Header"/>
    <w:uiPriority w:val="99"/>
    <w:rsid w:val="00825199"/>
  </w:style>
  <w:style w:type="character" w:styleId="Emphasis">
    <w:name w:val="Emphasis"/>
    <w:basedOn w:val="DefaultParagraphFont"/>
    <w:uiPriority w:val="20"/>
    <w:qFormat/>
    <w:rsid w:val="003E4532"/>
    <w:rPr>
      <w:i/>
      <w:iCs/>
    </w:rPr>
  </w:style>
  <w:style w:type="paragraph" w:styleId="BalloonText">
    <w:name w:val="Balloon Text"/>
    <w:basedOn w:val="Normal"/>
    <w:link w:val="BalloonTextChar"/>
    <w:uiPriority w:val="99"/>
    <w:semiHidden/>
    <w:unhideWhenUsed/>
    <w:rsid w:val="00C240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4020"/>
    <w:rPr>
      <w:rFonts w:ascii="Lucida Grande" w:hAnsi="Lucida Grande" w:cs="Lucida Grande"/>
      <w:sz w:val="18"/>
      <w:szCs w:val="18"/>
    </w:rPr>
  </w:style>
  <w:style w:type="character" w:styleId="Hyperlink">
    <w:name w:val="Hyperlink"/>
    <w:basedOn w:val="DefaultParagraphFont"/>
    <w:uiPriority w:val="99"/>
    <w:unhideWhenUsed/>
    <w:rsid w:val="002E1D45"/>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6A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D6A84"/>
    <w:pPr>
      <w:ind w:left="720"/>
      <w:contextualSpacing/>
    </w:pPr>
  </w:style>
  <w:style w:type="paragraph" w:styleId="Footer">
    <w:name w:val="footer"/>
    <w:basedOn w:val="Normal"/>
    <w:link w:val="FooterChar"/>
    <w:uiPriority w:val="99"/>
    <w:unhideWhenUsed/>
    <w:rsid w:val="00825199"/>
    <w:pPr>
      <w:tabs>
        <w:tab w:val="center" w:pos="4320"/>
        <w:tab w:val="right" w:pos="8640"/>
      </w:tabs>
    </w:pPr>
  </w:style>
  <w:style w:type="character" w:customStyle="1" w:styleId="FooterChar">
    <w:name w:val="Footer Char"/>
    <w:basedOn w:val="DefaultParagraphFont"/>
    <w:link w:val="Footer"/>
    <w:uiPriority w:val="99"/>
    <w:rsid w:val="00825199"/>
  </w:style>
  <w:style w:type="character" w:styleId="PageNumber">
    <w:name w:val="page number"/>
    <w:basedOn w:val="DefaultParagraphFont"/>
    <w:uiPriority w:val="99"/>
    <w:semiHidden/>
    <w:unhideWhenUsed/>
    <w:rsid w:val="00825199"/>
  </w:style>
  <w:style w:type="paragraph" w:styleId="Header">
    <w:name w:val="header"/>
    <w:basedOn w:val="Normal"/>
    <w:link w:val="HeaderChar"/>
    <w:uiPriority w:val="99"/>
    <w:unhideWhenUsed/>
    <w:rsid w:val="00825199"/>
    <w:pPr>
      <w:tabs>
        <w:tab w:val="center" w:pos="4320"/>
        <w:tab w:val="right" w:pos="8640"/>
      </w:tabs>
    </w:pPr>
  </w:style>
  <w:style w:type="character" w:customStyle="1" w:styleId="HeaderChar">
    <w:name w:val="Header Char"/>
    <w:basedOn w:val="DefaultParagraphFont"/>
    <w:link w:val="Header"/>
    <w:uiPriority w:val="99"/>
    <w:rsid w:val="00825199"/>
  </w:style>
  <w:style w:type="character" w:styleId="Emphasis">
    <w:name w:val="Emphasis"/>
    <w:basedOn w:val="DefaultParagraphFont"/>
    <w:uiPriority w:val="20"/>
    <w:qFormat/>
    <w:rsid w:val="003E4532"/>
    <w:rPr>
      <w:i/>
      <w:iCs/>
    </w:rPr>
  </w:style>
  <w:style w:type="paragraph" w:styleId="BalloonText">
    <w:name w:val="Balloon Text"/>
    <w:basedOn w:val="Normal"/>
    <w:link w:val="BalloonTextChar"/>
    <w:uiPriority w:val="99"/>
    <w:semiHidden/>
    <w:unhideWhenUsed/>
    <w:rsid w:val="00C2402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24020"/>
    <w:rPr>
      <w:rFonts w:ascii="Lucida Grande" w:hAnsi="Lucida Grande" w:cs="Lucida Grande"/>
      <w:sz w:val="18"/>
      <w:szCs w:val="18"/>
    </w:rPr>
  </w:style>
  <w:style w:type="character" w:styleId="Hyperlink">
    <w:name w:val="Hyperlink"/>
    <w:basedOn w:val="DefaultParagraphFont"/>
    <w:uiPriority w:val="99"/>
    <w:unhideWhenUsed/>
    <w:rsid w:val="002E1D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864470">
      <w:bodyDiv w:val="1"/>
      <w:marLeft w:val="0"/>
      <w:marRight w:val="0"/>
      <w:marTop w:val="0"/>
      <w:marBottom w:val="0"/>
      <w:divBdr>
        <w:top w:val="none" w:sz="0" w:space="0" w:color="auto"/>
        <w:left w:val="none" w:sz="0" w:space="0" w:color="auto"/>
        <w:bottom w:val="none" w:sz="0" w:space="0" w:color="auto"/>
        <w:right w:val="none" w:sz="0" w:space="0" w:color="auto"/>
      </w:divBdr>
      <w:divsChild>
        <w:div w:id="1023629257">
          <w:marLeft w:val="0"/>
          <w:marRight w:val="0"/>
          <w:marTop w:val="0"/>
          <w:marBottom w:val="0"/>
          <w:divBdr>
            <w:top w:val="none" w:sz="0" w:space="0" w:color="auto"/>
            <w:left w:val="none" w:sz="0" w:space="0" w:color="auto"/>
            <w:bottom w:val="none" w:sz="0" w:space="0" w:color="auto"/>
            <w:right w:val="none" w:sz="0" w:space="0" w:color="auto"/>
          </w:divBdr>
        </w:div>
        <w:div w:id="1341615263">
          <w:marLeft w:val="0"/>
          <w:marRight w:val="0"/>
          <w:marTop w:val="0"/>
          <w:marBottom w:val="0"/>
          <w:divBdr>
            <w:top w:val="none" w:sz="0" w:space="0" w:color="auto"/>
            <w:left w:val="none" w:sz="0" w:space="0" w:color="auto"/>
            <w:bottom w:val="none" w:sz="0" w:space="0" w:color="auto"/>
            <w:right w:val="none" w:sz="0" w:space="0" w:color="auto"/>
          </w:divBdr>
        </w:div>
        <w:div w:id="657853472">
          <w:marLeft w:val="0"/>
          <w:marRight w:val="0"/>
          <w:marTop w:val="0"/>
          <w:marBottom w:val="0"/>
          <w:divBdr>
            <w:top w:val="none" w:sz="0" w:space="0" w:color="auto"/>
            <w:left w:val="none" w:sz="0" w:space="0" w:color="auto"/>
            <w:bottom w:val="none" w:sz="0" w:space="0" w:color="auto"/>
            <w:right w:val="none" w:sz="0" w:space="0" w:color="auto"/>
          </w:divBdr>
        </w:div>
      </w:divsChild>
    </w:div>
    <w:div w:id="1046415636">
      <w:bodyDiv w:val="1"/>
      <w:marLeft w:val="0"/>
      <w:marRight w:val="0"/>
      <w:marTop w:val="0"/>
      <w:marBottom w:val="0"/>
      <w:divBdr>
        <w:top w:val="none" w:sz="0" w:space="0" w:color="auto"/>
        <w:left w:val="none" w:sz="0" w:space="0" w:color="auto"/>
        <w:bottom w:val="none" w:sz="0" w:space="0" w:color="auto"/>
        <w:right w:val="none" w:sz="0" w:space="0" w:color="auto"/>
      </w:divBdr>
      <w:divsChild>
        <w:div w:id="230509412">
          <w:marLeft w:val="0"/>
          <w:marRight w:val="0"/>
          <w:marTop w:val="0"/>
          <w:marBottom w:val="0"/>
          <w:divBdr>
            <w:top w:val="none" w:sz="0" w:space="0" w:color="auto"/>
            <w:left w:val="none" w:sz="0" w:space="0" w:color="auto"/>
            <w:bottom w:val="none" w:sz="0" w:space="0" w:color="auto"/>
            <w:right w:val="none" w:sz="0" w:space="0" w:color="auto"/>
          </w:divBdr>
        </w:div>
        <w:div w:id="1236163840">
          <w:marLeft w:val="0"/>
          <w:marRight w:val="0"/>
          <w:marTop w:val="0"/>
          <w:marBottom w:val="0"/>
          <w:divBdr>
            <w:top w:val="none" w:sz="0" w:space="0" w:color="auto"/>
            <w:left w:val="none" w:sz="0" w:space="0" w:color="auto"/>
            <w:bottom w:val="none" w:sz="0" w:space="0" w:color="auto"/>
            <w:right w:val="none" w:sz="0" w:space="0" w:color="auto"/>
          </w:divBdr>
        </w:div>
        <w:div w:id="2045859964">
          <w:marLeft w:val="0"/>
          <w:marRight w:val="0"/>
          <w:marTop w:val="0"/>
          <w:marBottom w:val="0"/>
          <w:divBdr>
            <w:top w:val="none" w:sz="0" w:space="0" w:color="auto"/>
            <w:left w:val="none" w:sz="0" w:space="0" w:color="auto"/>
            <w:bottom w:val="none" w:sz="0" w:space="0" w:color="auto"/>
            <w:right w:val="none" w:sz="0" w:space="0" w:color="auto"/>
          </w:divBdr>
        </w:div>
      </w:divsChild>
    </w:div>
    <w:div w:id="1395078190">
      <w:bodyDiv w:val="1"/>
      <w:marLeft w:val="0"/>
      <w:marRight w:val="0"/>
      <w:marTop w:val="0"/>
      <w:marBottom w:val="0"/>
      <w:divBdr>
        <w:top w:val="none" w:sz="0" w:space="0" w:color="auto"/>
        <w:left w:val="none" w:sz="0" w:space="0" w:color="auto"/>
        <w:bottom w:val="none" w:sz="0" w:space="0" w:color="auto"/>
        <w:right w:val="none" w:sz="0" w:space="0" w:color="auto"/>
      </w:divBdr>
      <w:divsChild>
        <w:div w:id="1192913028">
          <w:marLeft w:val="0"/>
          <w:marRight w:val="0"/>
          <w:marTop w:val="0"/>
          <w:marBottom w:val="0"/>
          <w:divBdr>
            <w:top w:val="none" w:sz="0" w:space="0" w:color="auto"/>
            <w:left w:val="none" w:sz="0" w:space="0" w:color="auto"/>
            <w:bottom w:val="none" w:sz="0" w:space="0" w:color="auto"/>
            <w:right w:val="none" w:sz="0" w:space="0" w:color="auto"/>
          </w:divBdr>
        </w:div>
        <w:div w:id="898635141">
          <w:marLeft w:val="0"/>
          <w:marRight w:val="0"/>
          <w:marTop w:val="0"/>
          <w:marBottom w:val="0"/>
          <w:divBdr>
            <w:top w:val="none" w:sz="0" w:space="0" w:color="auto"/>
            <w:left w:val="none" w:sz="0" w:space="0" w:color="auto"/>
            <w:bottom w:val="none" w:sz="0" w:space="0" w:color="auto"/>
            <w:right w:val="none" w:sz="0" w:space="0" w:color="auto"/>
          </w:divBdr>
        </w:div>
        <w:div w:id="357394505">
          <w:marLeft w:val="0"/>
          <w:marRight w:val="0"/>
          <w:marTop w:val="0"/>
          <w:marBottom w:val="0"/>
          <w:divBdr>
            <w:top w:val="none" w:sz="0" w:space="0" w:color="auto"/>
            <w:left w:val="none" w:sz="0" w:space="0" w:color="auto"/>
            <w:bottom w:val="none" w:sz="0" w:space="0" w:color="auto"/>
            <w:right w:val="none" w:sz="0" w:space="0" w:color="auto"/>
          </w:divBdr>
        </w:div>
      </w:divsChild>
    </w:div>
    <w:div w:id="2076197062">
      <w:bodyDiv w:val="1"/>
      <w:marLeft w:val="0"/>
      <w:marRight w:val="0"/>
      <w:marTop w:val="0"/>
      <w:marBottom w:val="0"/>
      <w:divBdr>
        <w:top w:val="none" w:sz="0" w:space="0" w:color="auto"/>
        <w:left w:val="none" w:sz="0" w:space="0" w:color="auto"/>
        <w:bottom w:val="none" w:sz="0" w:space="0" w:color="auto"/>
        <w:right w:val="none" w:sz="0" w:space="0" w:color="auto"/>
      </w:divBdr>
      <w:divsChild>
        <w:div w:id="1227258427">
          <w:marLeft w:val="0"/>
          <w:marRight w:val="0"/>
          <w:marTop w:val="0"/>
          <w:marBottom w:val="0"/>
          <w:divBdr>
            <w:top w:val="none" w:sz="0" w:space="0" w:color="auto"/>
            <w:left w:val="none" w:sz="0" w:space="0" w:color="auto"/>
            <w:bottom w:val="none" w:sz="0" w:space="0" w:color="auto"/>
            <w:right w:val="none" w:sz="0" w:space="0" w:color="auto"/>
          </w:divBdr>
        </w:div>
        <w:div w:id="1145783607">
          <w:marLeft w:val="0"/>
          <w:marRight w:val="0"/>
          <w:marTop w:val="0"/>
          <w:marBottom w:val="0"/>
          <w:divBdr>
            <w:top w:val="none" w:sz="0" w:space="0" w:color="auto"/>
            <w:left w:val="none" w:sz="0" w:space="0" w:color="auto"/>
            <w:bottom w:val="none" w:sz="0" w:space="0" w:color="auto"/>
            <w:right w:val="none" w:sz="0" w:space="0" w:color="auto"/>
          </w:divBdr>
        </w:div>
        <w:div w:id="1779374892">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tmos.albany.edu/student/abentley/research_images/mthesis/paper/composites/midlat_comp.php"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72C2B-EF1F-4643-BF19-641B4B0E7B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863</Words>
  <Characters>4924</Characters>
  <Application>Microsoft Macintosh Word</Application>
  <DocSecurity>0</DocSecurity>
  <Lines>41</Lines>
  <Paragraphs>11</Paragraphs>
  <ScaleCrop>false</ScaleCrop>
  <Company>University at Albany</Company>
  <LinksUpToDate>false</LinksUpToDate>
  <CharactersWithSpaces>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Bentley</dc:creator>
  <cp:keywords/>
  <dc:description/>
  <cp:lastModifiedBy>Alicia Bentley</cp:lastModifiedBy>
  <cp:revision>6</cp:revision>
  <cp:lastPrinted>2015-02-24T01:18:00Z</cp:lastPrinted>
  <dcterms:created xsi:type="dcterms:W3CDTF">2016-04-15T18:14:00Z</dcterms:created>
  <dcterms:modified xsi:type="dcterms:W3CDTF">2016-04-15T18:31:00Z</dcterms:modified>
</cp:coreProperties>
</file>