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1BACB" w14:textId="3EA65310" w:rsidR="00E30BDA" w:rsidRPr="00E520D1" w:rsidRDefault="00E30BDA" w:rsidP="00E30BDA">
      <w:pPr>
        <w:pStyle w:val="NormalWeb"/>
        <w:rPr>
          <w:rFonts w:ascii="Times New Roman" w:hAnsi="Times New Roman"/>
          <w:b/>
          <w:sz w:val="22"/>
          <w:szCs w:val="22"/>
        </w:rPr>
      </w:pPr>
      <w:r w:rsidRPr="00E520D1">
        <w:rPr>
          <w:rStyle w:val="rphighlightallclass"/>
          <w:rFonts w:ascii="Times New Roman" w:eastAsia="Times New Roman" w:hAnsi="Times New Roman"/>
          <w:b/>
          <w:sz w:val="22"/>
          <w:szCs w:val="22"/>
        </w:rPr>
        <w:t>MWR-D-16-0263</w:t>
      </w:r>
      <w:r w:rsidRPr="00E520D1">
        <w:rPr>
          <w:rFonts w:ascii="Times New Roman" w:hAnsi="Times New Roman"/>
          <w:b/>
          <w:bCs/>
          <w:iCs/>
          <w:sz w:val="22"/>
          <w:szCs w:val="22"/>
        </w:rPr>
        <w:t xml:space="preserve"> |</w:t>
      </w:r>
      <w:r w:rsidRPr="00E520D1">
        <w:rPr>
          <w:rFonts w:ascii="Times New Roman" w:hAnsi="Times New Roman"/>
          <w:b/>
          <w:sz w:val="22"/>
          <w:szCs w:val="22"/>
        </w:rPr>
        <w:t xml:space="preserve"> Bentley et al., Response to Reviewer 2 </w:t>
      </w:r>
    </w:p>
    <w:p w14:paraId="270C0031" w14:textId="77777777" w:rsidR="00E30BDA" w:rsidRPr="00E520D1" w:rsidRDefault="00E30BDA" w:rsidP="00E30BDA">
      <w:pPr>
        <w:widowControl w:val="0"/>
        <w:autoSpaceDE w:val="0"/>
        <w:autoSpaceDN w:val="0"/>
        <w:adjustRightInd w:val="0"/>
        <w:spacing w:after="240"/>
        <w:rPr>
          <w:rFonts w:ascii="Times New Roman" w:hAnsi="Times New Roman" w:cs="Times New Roman"/>
          <w:color w:val="FF0000"/>
          <w:sz w:val="22"/>
          <w:szCs w:val="22"/>
        </w:rPr>
      </w:pPr>
      <w:r w:rsidRPr="00E520D1">
        <w:rPr>
          <w:rFonts w:ascii="Times New Roman" w:hAnsi="Times New Roman" w:cs="Times New Roman"/>
          <w:color w:val="FF0000"/>
          <w:sz w:val="22"/>
          <w:szCs w:val="22"/>
        </w:rPr>
        <w:t xml:space="preserve">The authors thank Reviewer 2 for their thoughtful and thorough review. We have incorporated your recommendations as described below. We have also listed (where appropriate) the sections(s)/line(s) where each change is located in the revised manuscript. </w:t>
      </w:r>
    </w:p>
    <w:p w14:paraId="34635E20" w14:textId="77777777" w:rsidR="00142DF6" w:rsidRPr="00E520D1" w:rsidRDefault="002B79AC" w:rsidP="00E30BDA">
      <w:pPr>
        <w:widowControl w:val="0"/>
        <w:autoSpaceDE w:val="0"/>
        <w:autoSpaceDN w:val="0"/>
        <w:adjustRightInd w:val="0"/>
        <w:spacing w:after="240"/>
        <w:rPr>
          <w:rFonts w:ascii="Times New Roman" w:eastAsia="Times New Roman" w:hAnsi="Times New Roman" w:cs="Times New Roman"/>
          <w:sz w:val="22"/>
          <w:szCs w:val="22"/>
        </w:rPr>
      </w:pPr>
      <w:r w:rsidRPr="00E520D1">
        <w:rPr>
          <w:rFonts w:ascii="Times New Roman" w:eastAsia="Times New Roman" w:hAnsi="Times New Roman" w:cs="Times New Roman"/>
          <w:b/>
          <w:sz w:val="22"/>
          <w:szCs w:val="22"/>
        </w:rPr>
        <w:t>Overview:</w:t>
      </w:r>
      <w:r w:rsidRPr="00E520D1">
        <w:rPr>
          <w:rFonts w:ascii="Times New Roman" w:eastAsia="Times New Roman" w:hAnsi="Times New Roman" w:cs="Times New Roman"/>
          <w:sz w:val="22"/>
          <w:szCs w:val="22"/>
        </w:rPr>
        <w:br/>
        <w:t>This manuscript presents additional climatological analysis on a dataset of tropical cyclones that developed from subt</w:t>
      </w:r>
      <w:bookmarkStart w:id="0" w:name="_GoBack"/>
      <w:bookmarkEnd w:id="0"/>
      <w:r w:rsidRPr="00E520D1">
        <w:rPr>
          <w:rFonts w:ascii="Times New Roman" w:eastAsia="Times New Roman" w:hAnsi="Times New Roman" w:cs="Times New Roman"/>
          <w:sz w:val="22"/>
          <w:szCs w:val="22"/>
        </w:rPr>
        <w:t xml:space="preserve">ropical cyclones. They show four distinct upper-tropospheric precursor features that occur prior to subtropical cyclone formation, with a 5th category of "unclassifiable". They also link three of the four categories to anticyclonic wave breaking, which </w:t>
      </w:r>
      <w:proofErr w:type="gramStart"/>
      <w:r w:rsidRPr="00E520D1">
        <w:rPr>
          <w:rFonts w:ascii="Times New Roman" w:eastAsia="Times New Roman" w:hAnsi="Times New Roman" w:cs="Times New Roman"/>
          <w:sz w:val="22"/>
          <w:szCs w:val="22"/>
        </w:rPr>
        <w:t>was</w:t>
      </w:r>
      <w:proofErr w:type="gramEnd"/>
      <w:r w:rsidRPr="00E520D1">
        <w:rPr>
          <w:rFonts w:ascii="Times New Roman" w:eastAsia="Times New Roman" w:hAnsi="Times New Roman" w:cs="Times New Roman"/>
          <w:sz w:val="22"/>
          <w:szCs w:val="22"/>
        </w:rPr>
        <w:t xml:space="preserve"> previously identified as a potential pathway for subtropical cyclone formation. This manuscript is appropriate for Monthly Weather Review. It analyzes a fairly common phenomenon in the North Atlantic basin in the context of atmospheric dynamics. </w:t>
      </w:r>
      <w:r w:rsidRPr="00E520D1">
        <w:rPr>
          <w:rFonts w:ascii="Times New Roman" w:eastAsia="Times New Roman" w:hAnsi="Times New Roman" w:cs="Times New Roman"/>
          <w:sz w:val="22"/>
          <w:szCs w:val="22"/>
        </w:rPr>
        <w:br/>
      </w:r>
      <w:r w:rsidRPr="00E520D1">
        <w:rPr>
          <w:rFonts w:ascii="Times New Roman" w:eastAsia="Times New Roman" w:hAnsi="Times New Roman" w:cs="Times New Roman"/>
          <w:sz w:val="22"/>
          <w:szCs w:val="22"/>
        </w:rPr>
        <w:br/>
        <w:t>The manuscript is very well written and contains substantive analysis and results that expand on their prior study. Their figures are quite good and generally easy to interpret. However, I have some minor concerns about a few aspects of the manuscript:</w:t>
      </w:r>
      <w:r w:rsidRPr="00E520D1">
        <w:rPr>
          <w:rFonts w:ascii="Times New Roman" w:eastAsia="Times New Roman" w:hAnsi="Times New Roman" w:cs="Times New Roman"/>
          <w:sz w:val="22"/>
          <w:szCs w:val="22"/>
        </w:rPr>
        <w:br/>
        <w:t xml:space="preserve">- Presence of the unclassifiable category in Figs 2-6 when it is explicitly excluded from the text. </w:t>
      </w:r>
      <w:r w:rsidRPr="00E520D1">
        <w:rPr>
          <w:rFonts w:ascii="Times New Roman" w:eastAsia="Times New Roman" w:hAnsi="Times New Roman" w:cs="Times New Roman"/>
          <w:sz w:val="22"/>
          <w:szCs w:val="22"/>
        </w:rPr>
        <w:br/>
        <w:t>- Minimal discussion of the meridional trough category</w:t>
      </w:r>
      <w:r w:rsidR="00E30BDA" w:rsidRPr="00E520D1">
        <w:rPr>
          <w:rFonts w:ascii="Times New Roman" w:eastAsia="Times New Roman" w:hAnsi="Times New Roman" w:cs="Times New Roman"/>
          <w:sz w:val="22"/>
          <w:szCs w:val="22"/>
        </w:rPr>
        <w:t xml:space="preserve"> in the context of lack of AWB</w:t>
      </w:r>
      <w:r w:rsidR="00E30BDA" w:rsidRPr="00E520D1">
        <w:rPr>
          <w:rFonts w:ascii="Times New Roman" w:eastAsia="Times New Roman" w:hAnsi="Times New Roman" w:cs="Times New Roman"/>
          <w:sz w:val="22"/>
          <w:szCs w:val="22"/>
        </w:rPr>
        <w:br/>
      </w:r>
      <w:r w:rsidRPr="00E520D1">
        <w:rPr>
          <w:rFonts w:ascii="Times New Roman" w:eastAsia="Times New Roman" w:hAnsi="Times New Roman" w:cs="Times New Roman"/>
          <w:sz w:val="22"/>
          <w:szCs w:val="22"/>
        </w:rPr>
        <w:t>I have detailed these concerns, plus some other minor comments, in the text below. I think this manuscript would benefit from some revisions by the authors. If the authors address these concerns, I think the manuscript is a good contribution to MWR.</w:t>
      </w:r>
    </w:p>
    <w:p w14:paraId="14822379" w14:textId="165AFAE6" w:rsidR="00142DF6" w:rsidRPr="00E520D1" w:rsidRDefault="00142DF6" w:rsidP="00E30BDA">
      <w:pPr>
        <w:widowControl w:val="0"/>
        <w:autoSpaceDE w:val="0"/>
        <w:autoSpaceDN w:val="0"/>
        <w:adjustRightInd w:val="0"/>
        <w:spacing w:after="240"/>
        <w:rPr>
          <w:rFonts w:ascii="Times New Roman" w:eastAsia="Times New Roman" w:hAnsi="Times New Roman" w:cs="Times New Roman"/>
          <w:color w:val="FF0000"/>
          <w:sz w:val="22"/>
          <w:szCs w:val="22"/>
        </w:rPr>
      </w:pPr>
      <w:r w:rsidRPr="00E520D1">
        <w:rPr>
          <w:rFonts w:ascii="Times New Roman" w:eastAsia="Times New Roman" w:hAnsi="Times New Roman" w:cs="Times New Roman"/>
          <w:color w:val="FF0000"/>
          <w:sz w:val="22"/>
          <w:szCs w:val="22"/>
        </w:rPr>
        <w:t xml:space="preserve">The authors thank the reviewer for their kind comments! The authors </w:t>
      </w:r>
      <w:r w:rsidR="004F0B4B" w:rsidRPr="00E520D1">
        <w:rPr>
          <w:rFonts w:ascii="Times New Roman" w:eastAsia="Times New Roman" w:hAnsi="Times New Roman" w:cs="Times New Roman"/>
          <w:color w:val="FF0000"/>
          <w:sz w:val="22"/>
          <w:szCs w:val="22"/>
        </w:rPr>
        <w:t xml:space="preserve">feel it is important </w:t>
      </w:r>
      <w:r w:rsidRPr="00E520D1">
        <w:rPr>
          <w:rFonts w:ascii="Times New Roman" w:eastAsia="Times New Roman" w:hAnsi="Times New Roman" w:cs="Times New Roman"/>
          <w:color w:val="FF0000"/>
          <w:sz w:val="22"/>
          <w:szCs w:val="22"/>
        </w:rPr>
        <w:t xml:space="preserve">to mention that, based on recommendations by two other anonymous </w:t>
      </w:r>
      <w:proofErr w:type="gramStart"/>
      <w:r w:rsidRPr="00E520D1">
        <w:rPr>
          <w:rFonts w:ascii="Times New Roman" w:eastAsia="Times New Roman" w:hAnsi="Times New Roman" w:cs="Times New Roman"/>
          <w:color w:val="FF0000"/>
          <w:sz w:val="22"/>
          <w:szCs w:val="22"/>
        </w:rPr>
        <w:t>reviewers,</w:t>
      </w:r>
      <w:proofErr w:type="gramEnd"/>
      <w:r w:rsidRPr="00E520D1">
        <w:rPr>
          <w:rFonts w:ascii="Times New Roman" w:eastAsia="Times New Roman" w:hAnsi="Times New Roman" w:cs="Times New Roman"/>
          <w:color w:val="FF0000"/>
          <w:sz w:val="22"/>
          <w:szCs w:val="22"/>
        </w:rPr>
        <w:t xml:space="preserve"> the subtropical disturbance category has been removed from the present study</w:t>
      </w:r>
      <w:r w:rsidR="004F0B4B" w:rsidRPr="00E520D1">
        <w:rPr>
          <w:rFonts w:ascii="Times New Roman" w:eastAsia="Times New Roman" w:hAnsi="Times New Roman" w:cs="Times New Roman"/>
          <w:color w:val="FF0000"/>
          <w:sz w:val="22"/>
          <w:szCs w:val="22"/>
        </w:rPr>
        <w:t xml:space="preserve">. </w:t>
      </w:r>
      <w:r w:rsidRPr="00E520D1">
        <w:rPr>
          <w:rFonts w:ascii="Times New Roman" w:eastAsia="Times New Roman" w:hAnsi="Times New Roman" w:cs="Times New Roman"/>
          <w:color w:val="FF0000"/>
          <w:sz w:val="22"/>
          <w:szCs w:val="22"/>
        </w:rPr>
        <w:t>STCs included in that category have been reclassified</w:t>
      </w:r>
      <w:r w:rsidR="004F0B4B" w:rsidRPr="00E520D1">
        <w:rPr>
          <w:rFonts w:ascii="Times New Roman" w:eastAsia="Times New Roman" w:hAnsi="Times New Roman" w:cs="Times New Roman"/>
          <w:color w:val="FF0000"/>
          <w:sz w:val="22"/>
          <w:szCs w:val="22"/>
        </w:rPr>
        <w:t>, primarily as zonal troughs</w:t>
      </w:r>
      <w:r w:rsidRPr="00E520D1">
        <w:rPr>
          <w:rFonts w:ascii="Times New Roman" w:eastAsia="Times New Roman" w:hAnsi="Times New Roman" w:cs="Times New Roman"/>
          <w:color w:val="FF0000"/>
          <w:sz w:val="22"/>
          <w:szCs w:val="22"/>
        </w:rPr>
        <w:t xml:space="preserve">. The remaining categories (e.g., cutoff lows and meridional troughs) have been essentially unchanged and the results of the present study are nearly identical to the previous version. </w:t>
      </w:r>
      <w:r w:rsidR="004F0B4B" w:rsidRPr="00E520D1">
        <w:rPr>
          <w:rFonts w:ascii="Times New Roman" w:eastAsia="Times New Roman" w:hAnsi="Times New Roman" w:cs="Times New Roman"/>
          <w:color w:val="FF0000"/>
          <w:sz w:val="22"/>
          <w:szCs w:val="22"/>
        </w:rPr>
        <w:t xml:space="preserve">Please keep this change is mind as you read the authors responses below. </w:t>
      </w:r>
    </w:p>
    <w:p w14:paraId="57CC17B2" w14:textId="56A530F5" w:rsidR="00C82815" w:rsidRPr="00E520D1" w:rsidRDefault="002B79AC" w:rsidP="00E30BDA">
      <w:pPr>
        <w:widowControl w:val="0"/>
        <w:autoSpaceDE w:val="0"/>
        <w:autoSpaceDN w:val="0"/>
        <w:adjustRightInd w:val="0"/>
        <w:spacing w:after="240"/>
        <w:rPr>
          <w:rFonts w:ascii="Times New Roman" w:eastAsia="Times New Roman" w:hAnsi="Times New Roman" w:cs="Times New Roman"/>
          <w:sz w:val="22"/>
          <w:szCs w:val="22"/>
        </w:rPr>
      </w:pPr>
      <w:r w:rsidRPr="00E520D1">
        <w:rPr>
          <w:rFonts w:ascii="Times New Roman" w:eastAsia="Times New Roman" w:hAnsi="Times New Roman" w:cs="Times New Roman"/>
          <w:sz w:val="22"/>
          <w:szCs w:val="22"/>
        </w:rPr>
        <w:t>Recommendation: M</w:t>
      </w:r>
      <w:r w:rsidR="00E30BDA" w:rsidRPr="00E520D1">
        <w:rPr>
          <w:rFonts w:ascii="Times New Roman" w:eastAsia="Times New Roman" w:hAnsi="Times New Roman" w:cs="Times New Roman"/>
          <w:sz w:val="22"/>
          <w:szCs w:val="22"/>
        </w:rPr>
        <w:t>inor Revisions</w:t>
      </w:r>
      <w:r w:rsidR="00E30BDA" w:rsidRPr="00E520D1">
        <w:rPr>
          <w:rFonts w:ascii="Times New Roman" w:eastAsia="Times New Roman" w:hAnsi="Times New Roman" w:cs="Times New Roman"/>
          <w:sz w:val="22"/>
          <w:szCs w:val="22"/>
        </w:rPr>
        <w:br/>
        <w:t> </w:t>
      </w:r>
      <w:r w:rsidR="00E30BDA" w:rsidRPr="00E520D1">
        <w:rPr>
          <w:rFonts w:ascii="Times New Roman" w:eastAsia="Times New Roman" w:hAnsi="Times New Roman" w:cs="Times New Roman"/>
          <w:sz w:val="22"/>
          <w:szCs w:val="22"/>
        </w:rPr>
        <w:br/>
      </w:r>
      <w:r w:rsidR="00E30BDA" w:rsidRPr="00E520D1">
        <w:rPr>
          <w:rFonts w:ascii="Times New Roman" w:eastAsia="Times New Roman" w:hAnsi="Times New Roman" w:cs="Times New Roman"/>
          <w:b/>
          <w:sz w:val="22"/>
          <w:szCs w:val="22"/>
        </w:rPr>
        <w:t>Major Comments</w:t>
      </w:r>
      <w:r w:rsidRPr="00E520D1">
        <w:rPr>
          <w:rFonts w:ascii="Times New Roman" w:eastAsia="Times New Roman" w:hAnsi="Times New Roman" w:cs="Times New Roman"/>
          <w:sz w:val="22"/>
          <w:szCs w:val="22"/>
        </w:rPr>
        <w:br/>
        <w:t>1) Unclassifiable STCs omitted from text (lines 146-7) but included in Figs 2-6</w:t>
      </w:r>
      <w:r w:rsidRPr="00E520D1">
        <w:rPr>
          <w:rFonts w:ascii="Times New Roman" w:eastAsia="Times New Roman" w:hAnsi="Times New Roman" w:cs="Times New Roman"/>
          <w:sz w:val="22"/>
          <w:szCs w:val="22"/>
        </w:rPr>
        <w:br/>
        <w:t xml:space="preserve">The authors identify 4 categories of STC upper-tropospheric precursors, plus a fifth "unclassifiable" category. Given the focus of the article, I have no issue with removing these systems from the discussion, although I am intrigued to know their pathway(s) to formation. However, Figures 2-6 still contain the Unclassifiable category, which is inconsistent with </w:t>
      </w:r>
      <w:r w:rsidR="00C82815" w:rsidRPr="00E520D1">
        <w:rPr>
          <w:rFonts w:ascii="Times New Roman" w:eastAsia="Times New Roman" w:hAnsi="Times New Roman" w:cs="Times New Roman"/>
          <w:sz w:val="22"/>
          <w:szCs w:val="22"/>
        </w:rPr>
        <w:t xml:space="preserve">the statement in the article. </w:t>
      </w:r>
      <w:r w:rsidRPr="00E520D1">
        <w:rPr>
          <w:rFonts w:ascii="Times New Roman" w:eastAsia="Times New Roman" w:hAnsi="Times New Roman" w:cs="Times New Roman"/>
          <w:sz w:val="22"/>
          <w:szCs w:val="22"/>
        </w:rPr>
        <w:t xml:space="preserve">I see two options: </w:t>
      </w:r>
      <w:r w:rsidR="00C82815" w:rsidRPr="00E520D1">
        <w:rPr>
          <w:rFonts w:ascii="Times New Roman" w:eastAsia="Times New Roman" w:hAnsi="Times New Roman" w:cs="Times New Roman"/>
          <w:sz w:val="22"/>
          <w:szCs w:val="22"/>
        </w:rPr>
        <w:br/>
      </w:r>
      <w:r w:rsidRPr="00E520D1">
        <w:rPr>
          <w:rFonts w:ascii="Times New Roman" w:eastAsia="Times New Roman" w:hAnsi="Times New Roman" w:cs="Times New Roman"/>
          <w:sz w:val="22"/>
          <w:szCs w:val="22"/>
        </w:rPr>
        <w:t>1) remove the Unclassifiable category from those figures, or 2) alter the discussion to include relevant comparisons to the Unclassifiable category. Given the title of the article, #1 seems more appropriate, but the category does represent ~15% of TT STCs in the study. Perhaps the authors have another idea to resolve this discrepancy. It's just a bit disconcerting to expect only 4 categories,</w:t>
      </w:r>
      <w:r w:rsidR="00C82815" w:rsidRPr="00E520D1">
        <w:rPr>
          <w:rFonts w:ascii="Times New Roman" w:eastAsia="Times New Roman" w:hAnsi="Times New Roman" w:cs="Times New Roman"/>
          <w:sz w:val="22"/>
          <w:szCs w:val="22"/>
        </w:rPr>
        <w:t xml:space="preserve"> and then see 5 in the figures. </w:t>
      </w:r>
    </w:p>
    <w:p w14:paraId="5176F418" w14:textId="2723AEE3" w:rsidR="00C82815" w:rsidRPr="00E520D1" w:rsidRDefault="00C82815" w:rsidP="00E30BDA">
      <w:pPr>
        <w:widowControl w:val="0"/>
        <w:autoSpaceDE w:val="0"/>
        <w:autoSpaceDN w:val="0"/>
        <w:adjustRightInd w:val="0"/>
        <w:spacing w:after="240"/>
        <w:rPr>
          <w:rFonts w:ascii="Times New Roman" w:eastAsia="Times New Roman" w:hAnsi="Times New Roman" w:cs="Times New Roman"/>
          <w:color w:val="FF0000"/>
          <w:sz w:val="22"/>
          <w:szCs w:val="22"/>
        </w:rPr>
      </w:pPr>
      <w:r w:rsidRPr="00E520D1">
        <w:rPr>
          <w:rFonts w:ascii="Times New Roman" w:eastAsia="Times New Roman" w:hAnsi="Times New Roman" w:cs="Times New Roman"/>
          <w:color w:val="FF0000"/>
          <w:sz w:val="22"/>
          <w:szCs w:val="22"/>
        </w:rPr>
        <w:t xml:space="preserve">The reviewer brings up an important </w:t>
      </w:r>
      <w:r w:rsidR="004F0B4B" w:rsidRPr="00E520D1">
        <w:rPr>
          <w:rFonts w:ascii="Times New Roman" w:eastAsia="Times New Roman" w:hAnsi="Times New Roman" w:cs="Times New Roman"/>
          <w:color w:val="FF0000"/>
          <w:sz w:val="22"/>
          <w:szCs w:val="22"/>
        </w:rPr>
        <w:t xml:space="preserve">and interesting </w:t>
      </w:r>
      <w:r w:rsidRPr="00E520D1">
        <w:rPr>
          <w:rFonts w:ascii="Times New Roman" w:eastAsia="Times New Roman" w:hAnsi="Times New Roman" w:cs="Times New Roman"/>
          <w:color w:val="FF0000"/>
          <w:sz w:val="22"/>
          <w:szCs w:val="22"/>
        </w:rPr>
        <w:t>point</w:t>
      </w:r>
      <w:r w:rsidR="004F0B4B" w:rsidRPr="00E520D1">
        <w:rPr>
          <w:rFonts w:ascii="Times New Roman" w:eastAsia="Times New Roman" w:hAnsi="Times New Roman" w:cs="Times New Roman"/>
          <w:color w:val="FF0000"/>
          <w:sz w:val="22"/>
          <w:szCs w:val="22"/>
        </w:rPr>
        <w:t>.</w:t>
      </w:r>
      <w:r w:rsidRPr="00E520D1">
        <w:rPr>
          <w:rFonts w:ascii="Times New Roman" w:eastAsia="Times New Roman" w:hAnsi="Times New Roman" w:cs="Times New Roman"/>
          <w:color w:val="FF0000"/>
          <w:sz w:val="22"/>
          <w:szCs w:val="22"/>
        </w:rPr>
        <w:t xml:space="preserve"> Based on the reviewer’s comments, the statement pertaining to the unclassifiable category on L148</w:t>
      </w:r>
      <w:r w:rsidRPr="00E520D1">
        <w:rPr>
          <w:rFonts w:ascii="Times New Roman" w:hAnsi="Times New Roman" w:cs="Times New Roman"/>
          <w:color w:val="FF0000"/>
          <w:sz w:val="22"/>
          <w:szCs w:val="22"/>
        </w:rPr>
        <w:t>–150</w:t>
      </w:r>
      <w:r w:rsidRPr="00E520D1">
        <w:rPr>
          <w:rFonts w:ascii="Times New Roman" w:eastAsia="Times New Roman" w:hAnsi="Times New Roman" w:cs="Times New Roman"/>
          <w:color w:val="FF0000"/>
          <w:sz w:val="22"/>
          <w:szCs w:val="22"/>
        </w:rPr>
        <w:t xml:space="preserve"> has been expanded. In addition to stating that the unclassifiable category will not be discussed</w:t>
      </w:r>
      <w:r w:rsidR="007D7D2F" w:rsidRPr="00E520D1">
        <w:rPr>
          <w:rFonts w:ascii="Times New Roman" w:eastAsia="Times New Roman" w:hAnsi="Times New Roman" w:cs="Times New Roman"/>
          <w:color w:val="FF0000"/>
          <w:sz w:val="22"/>
          <w:szCs w:val="22"/>
        </w:rPr>
        <w:t xml:space="preserve"> further</w:t>
      </w:r>
      <w:r w:rsidRPr="00E520D1">
        <w:rPr>
          <w:rFonts w:ascii="Times New Roman" w:eastAsia="Times New Roman" w:hAnsi="Times New Roman" w:cs="Times New Roman"/>
          <w:color w:val="FF0000"/>
          <w:sz w:val="22"/>
          <w:szCs w:val="22"/>
        </w:rPr>
        <w:t>, this statement also emphasize</w:t>
      </w:r>
      <w:r w:rsidR="004F0B4B" w:rsidRPr="00E520D1">
        <w:rPr>
          <w:rFonts w:ascii="Times New Roman" w:eastAsia="Times New Roman" w:hAnsi="Times New Roman" w:cs="Times New Roman"/>
          <w:color w:val="FF0000"/>
          <w:sz w:val="22"/>
          <w:szCs w:val="22"/>
        </w:rPr>
        <w:t>s</w:t>
      </w:r>
      <w:r w:rsidRPr="00E520D1">
        <w:rPr>
          <w:rFonts w:ascii="Times New Roman" w:eastAsia="Times New Roman" w:hAnsi="Times New Roman" w:cs="Times New Roman"/>
          <w:color w:val="FF0000"/>
          <w:sz w:val="22"/>
          <w:szCs w:val="22"/>
        </w:rPr>
        <w:t xml:space="preserve"> that </w:t>
      </w:r>
      <w:r w:rsidR="00142DF6" w:rsidRPr="00E520D1">
        <w:rPr>
          <w:rFonts w:ascii="Times New Roman" w:eastAsia="Times New Roman" w:hAnsi="Times New Roman" w:cs="Times New Roman"/>
          <w:color w:val="FF0000"/>
          <w:sz w:val="22"/>
          <w:szCs w:val="22"/>
        </w:rPr>
        <w:t xml:space="preserve">the unclassifiable category </w:t>
      </w:r>
      <w:r w:rsidR="004F0B4B" w:rsidRPr="00E520D1">
        <w:rPr>
          <w:rFonts w:ascii="Times New Roman" w:eastAsia="Times New Roman" w:hAnsi="Times New Roman" w:cs="Times New Roman"/>
          <w:color w:val="FF0000"/>
          <w:sz w:val="22"/>
          <w:szCs w:val="22"/>
        </w:rPr>
        <w:t xml:space="preserve">will be </w:t>
      </w:r>
      <w:r w:rsidR="007D7D2F" w:rsidRPr="00E520D1">
        <w:rPr>
          <w:rFonts w:ascii="Times New Roman" w:eastAsia="Times New Roman" w:hAnsi="Times New Roman" w:cs="Times New Roman"/>
          <w:color w:val="FF0000"/>
          <w:sz w:val="22"/>
          <w:szCs w:val="22"/>
        </w:rPr>
        <w:t>included in</w:t>
      </w:r>
      <w:r w:rsidR="00142DF6" w:rsidRPr="00E520D1">
        <w:rPr>
          <w:rFonts w:ascii="Times New Roman" w:eastAsia="Times New Roman" w:hAnsi="Times New Roman" w:cs="Times New Roman"/>
          <w:color w:val="FF0000"/>
          <w:sz w:val="22"/>
          <w:szCs w:val="22"/>
        </w:rPr>
        <w:t xml:space="preserve"> figures </w:t>
      </w:r>
      <w:r w:rsidR="007D7D2F" w:rsidRPr="00E520D1">
        <w:rPr>
          <w:rFonts w:ascii="Times New Roman" w:eastAsia="Times New Roman" w:hAnsi="Times New Roman" w:cs="Times New Roman"/>
          <w:color w:val="FF0000"/>
          <w:sz w:val="22"/>
          <w:szCs w:val="22"/>
        </w:rPr>
        <w:t xml:space="preserve">in the present study </w:t>
      </w:r>
      <w:r w:rsidR="00142DF6" w:rsidRPr="00E520D1">
        <w:rPr>
          <w:rFonts w:ascii="Times New Roman" w:eastAsia="Times New Roman" w:hAnsi="Times New Roman" w:cs="Times New Roman"/>
          <w:color w:val="FF0000"/>
          <w:sz w:val="22"/>
          <w:szCs w:val="22"/>
        </w:rPr>
        <w:t>so that these figures c</w:t>
      </w:r>
      <w:r w:rsidR="004F0B4B" w:rsidRPr="00E520D1">
        <w:rPr>
          <w:rFonts w:ascii="Times New Roman" w:eastAsia="Times New Roman" w:hAnsi="Times New Roman" w:cs="Times New Roman"/>
          <w:color w:val="FF0000"/>
          <w:sz w:val="22"/>
          <w:szCs w:val="22"/>
        </w:rPr>
        <w:t>an</w:t>
      </w:r>
      <w:r w:rsidR="00142DF6" w:rsidRPr="00E520D1">
        <w:rPr>
          <w:rFonts w:ascii="Times New Roman" w:eastAsia="Times New Roman" w:hAnsi="Times New Roman" w:cs="Times New Roman"/>
          <w:color w:val="FF0000"/>
          <w:sz w:val="22"/>
          <w:szCs w:val="22"/>
        </w:rPr>
        <w:t xml:space="preserve"> be directly compared to </w:t>
      </w:r>
      <w:r w:rsidR="007D7D2F" w:rsidRPr="00E520D1">
        <w:rPr>
          <w:rFonts w:ascii="Times New Roman" w:eastAsia="Times New Roman" w:hAnsi="Times New Roman" w:cs="Times New Roman"/>
          <w:color w:val="FF0000"/>
          <w:sz w:val="22"/>
          <w:szCs w:val="22"/>
        </w:rPr>
        <w:t xml:space="preserve">figures in the </w:t>
      </w:r>
      <w:r w:rsidR="004F0B4B" w:rsidRPr="00E520D1">
        <w:rPr>
          <w:rFonts w:ascii="Times New Roman" w:eastAsia="Times New Roman" w:hAnsi="Times New Roman" w:cs="Times New Roman"/>
          <w:color w:val="FF0000"/>
          <w:sz w:val="22"/>
          <w:szCs w:val="22"/>
        </w:rPr>
        <w:t xml:space="preserve">previous </w:t>
      </w:r>
      <w:r w:rsidR="007D7D2F" w:rsidRPr="00E520D1">
        <w:rPr>
          <w:rFonts w:ascii="Times New Roman" w:eastAsia="Times New Roman" w:hAnsi="Times New Roman" w:cs="Times New Roman"/>
          <w:color w:val="FF0000"/>
          <w:sz w:val="22"/>
          <w:szCs w:val="22"/>
        </w:rPr>
        <w:t>climatological study</w:t>
      </w:r>
      <w:r w:rsidR="00142DF6" w:rsidRPr="00E520D1">
        <w:rPr>
          <w:rFonts w:ascii="Times New Roman" w:eastAsia="Times New Roman" w:hAnsi="Times New Roman" w:cs="Times New Roman"/>
          <w:color w:val="FF0000"/>
          <w:sz w:val="22"/>
          <w:szCs w:val="22"/>
        </w:rPr>
        <w:t xml:space="preserve"> of Bentley et al. (2016). In addition, the color of unclassifiable STCs in Figs. 4</w:t>
      </w:r>
      <w:r w:rsidR="00142DF6" w:rsidRPr="00E520D1">
        <w:rPr>
          <w:rFonts w:ascii="Times New Roman" w:hAnsi="Times New Roman" w:cs="Times New Roman"/>
          <w:color w:val="FF0000"/>
          <w:sz w:val="22"/>
          <w:szCs w:val="22"/>
        </w:rPr>
        <w:t>–8 has been changed to white in order to be less distracting</w:t>
      </w:r>
      <w:r w:rsidR="007D7D2F" w:rsidRPr="00E520D1">
        <w:rPr>
          <w:rFonts w:ascii="Times New Roman" w:hAnsi="Times New Roman" w:cs="Times New Roman"/>
          <w:color w:val="FF0000"/>
          <w:sz w:val="22"/>
          <w:szCs w:val="22"/>
        </w:rPr>
        <w:t xml:space="preserve"> to readers</w:t>
      </w:r>
      <w:r w:rsidR="00142DF6" w:rsidRPr="00E520D1">
        <w:rPr>
          <w:rFonts w:ascii="Times New Roman" w:hAnsi="Times New Roman" w:cs="Times New Roman"/>
          <w:color w:val="FF0000"/>
          <w:sz w:val="22"/>
          <w:szCs w:val="22"/>
        </w:rPr>
        <w:t>.</w:t>
      </w:r>
    </w:p>
    <w:p w14:paraId="6774036A" w14:textId="77777777" w:rsidR="001A5259" w:rsidRPr="00E520D1" w:rsidRDefault="002B79AC" w:rsidP="00E30BDA">
      <w:pPr>
        <w:widowControl w:val="0"/>
        <w:autoSpaceDE w:val="0"/>
        <w:autoSpaceDN w:val="0"/>
        <w:adjustRightInd w:val="0"/>
        <w:spacing w:after="240"/>
        <w:rPr>
          <w:rFonts w:ascii="Times New Roman" w:eastAsia="Times New Roman" w:hAnsi="Times New Roman" w:cs="Times New Roman"/>
          <w:sz w:val="22"/>
          <w:szCs w:val="22"/>
        </w:rPr>
      </w:pPr>
      <w:r w:rsidRPr="00E520D1">
        <w:rPr>
          <w:rFonts w:ascii="Times New Roman" w:eastAsia="Times New Roman" w:hAnsi="Times New Roman" w:cs="Times New Roman"/>
          <w:sz w:val="22"/>
          <w:szCs w:val="22"/>
        </w:rPr>
        <w:lastRenderedPageBreak/>
        <w:t xml:space="preserve">Minor addendum to this comment: Lines 104-106 </w:t>
      </w:r>
      <w:proofErr w:type="gramStart"/>
      <w:r w:rsidRPr="00E520D1">
        <w:rPr>
          <w:rFonts w:ascii="Times New Roman" w:eastAsia="Times New Roman" w:hAnsi="Times New Roman" w:cs="Times New Roman"/>
          <w:sz w:val="22"/>
          <w:szCs w:val="22"/>
        </w:rPr>
        <w:t>are</w:t>
      </w:r>
      <w:proofErr w:type="gramEnd"/>
      <w:r w:rsidRPr="00E520D1">
        <w:rPr>
          <w:rFonts w:ascii="Times New Roman" w:eastAsia="Times New Roman" w:hAnsi="Times New Roman" w:cs="Times New Roman"/>
          <w:sz w:val="22"/>
          <w:szCs w:val="22"/>
        </w:rPr>
        <w:t xml:space="preserve"> also a bit odd after reading the rest of the article. I am led to expect that all 62 STCs in the study will be included, but then there is this 10-STC catchall category. Perhaps rewriting this </w:t>
      </w:r>
      <w:proofErr w:type="gramStart"/>
      <w:r w:rsidRPr="00E520D1">
        <w:rPr>
          <w:rFonts w:ascii="Times New Roman" w:eastAsia="Times New Roman" w:hAnsi="Times New Roman" w:cs="Times New Roman"/>
          <w:sz w:val="22"/>
          <w:szCs w:val="22"/>
        </w:rPr>
        <w:t>line as, "For this study, NATL STCs that undergo TT are required….</w:t>
      </w:r>
      <w:proofErr w:type="gramEnd"/>
      <w:r w:rsidRPr="00E520D1">
        <w:rPr>
          <w:rFonts w:ascii="Times New Roman" w:eastAsia="Times New Roman" w:hAnsi="Times New Roman" w:cs="Times New Roman"/>
          <w:sz w:val="22"/>
          <w:szCs w:val="22"/>
        </w:rPr>
        <w:t xml:space="preserve">". </w:t>
      </w:r>
    </w:p>
    <w:p w14:paraId="133F6A9E" w14:textId="77777777" w:rsidR="009E65B8" w:rsidRPr="00E520D1" w:rsidRDefault="00BA0582" w:rsidP="00E30BDA">
      <w:pPr>
        <w:widowControl w:val="0"/>
        <w:autoSpaceDE w:val="0"/>
        <w:autoSpaceDN w:val="0"/>
        <w:adjustRightInd w:val="0"/>
        <w:spacing w:after="240"/>
        <w:rPr>
          <w:rFonts w:ascii="Times New Roman" w:eastAsia="Times New Roman" w:hAnsi="Times New Roman" w:cs="Times New Roman"/>
          <w:sz w:val="22"/>
          <w:szCs w:val="22"/>
        </w:rPr>
      </w:pPr>
      <w:r w:rsidRPr="00E520D1">
        <w:rPr>
          <w:rFonts w:ascii="Times New Roman" w:eastAsia="Times New Roman" w:hAnsi="Times New Roman" w:cs="Times New Roman"/>
          <w:color w:val="FF0000"/>
          <w:sz w:val="22"/>
          <w:szCs w:val="22"/>
        </w:rPr>
        <w:t>The reviewer’s comment is well taken. However, the se</w:t>
      </w:r>
      <w:r w:rsidR="004F0B4B" w:rsidRPr="00E520D1">
        <w:rPr>
          <w:rFonts w:ascii="Times New Roman" w:eastAsia="Times New Roman" w:hAnsi="Times New Roman" w:cs="Times New Roman"/>
          <w:color w:val="FF0000"/>
          <w:sz w:val="22"/>
          <w:szCs w:val="22"/>
        </w:rPr>
        <w:t>ntence in question pertains to the</w:t>
      </w:r>
      <w:r w:rsidRPr="00E520D1">
        <w:rPr>
          <w:rFonts w:ascii="Times New Roman" w:eastAsia="Times New Roman" w:hAnsi="Times New Roman" w:cs="Times New Roman"/>
          <w:color w:val="FF0000"/>
          <w:sz w:val="22"/>
          <w:szCs w:val="22"/>
        </w:rPr>
        <w:t xml:space="preserve"> 62 NATL STCs included in the previous work of Bentley et al. (2016), in which all 62 NATL STCs are required to undergo TT and form in the presence of a cold-core upper-tropospheric disturbance. </w:t>
      </w:r>
      <w:r w:rsidR="004F0B4B" w:rsidRPr="00E520D1">
        <w:rPr>
          <w:rFonts w:ascii="Times New Roman" w:eastAsia="Times New Roman" w:hAnsi="Times New Roman" w:cs="Times New Roman"/>
          <w:color w:val="FF0000"/>
          <w:sz w:val="22"/>
          <w:szCs w:val="22"/>
        </w:rPr>
        <w:t>For this reason, t</w:t>
      </w:r>
      <w:r w:rsidRPr="00E520D1">
        <w:rPr>
          <w:rFonts w:ascii="Times New Roman" w:eastAsia="Times New Roman" w:hAnsi="Times New Roman" w:cs="Times New Roman"/>
          <w:color w:val="FF0000"/>
          <w:sz w:val="22"/>
          <w:szCs w:val="22"/>
        </w:rPr>
        <w:t xml:space="preserve">he sentence will continue to refer to all 62 NATL STCs </w:t>
      </w:r>
      <w:r w:rsidR="0030151B" w:rsidRPr="00E520D1">
        <w:rPr>
          <w:rFonts w:ascii="Times New Roman" w:eastAsia="Times New Roman" w:hAnsi="Times New Roman" w:cs="Times New Roman"/>
          <w:color w:val="FF0000"/>
          <w:sz w:val="22"/>
          <w:szCs w:val="22"/>
        </w:rPr>
        <w:t xml:space="preserve">from Bentley et al. (2016) </w:t>
      </w:r>
      <w:r w:rsidRPr="00E520D1">
        <w:rPr>
          <w:rFonts w:ascii="Times New Roman" w:eastAsia="Times New Roman" w:hAnsi="Times New Roman" w:cs="Times New Roman"/>
          <w:color w:val="FF0000"/>
          <w:sz w:val="22"/>
          <w:szCs w:val="22"/>
        </w:rPr>
        <w:t>for consistency</w:t>
      </w:r>
      <w:r w:rsidR="0030151B" w:rsidRPr="00E520D1">
        <w:rPr>
          <w:rFonts w:ascii="Times New Roman" w:eastAsia="Times New Roman" w:hAnsi="Times New Roman" w:cs="Times New Roman"/>
          <w:color w:val="FF0000"/>
          <w:sz w:val="22"/>
          <w:szCs w:val="22"/>
        </w:rPr>
        <w:t>.</w:t>
      </w:r>
      <w:r w:rsidR="0030151B" w:rsidRPr="00E520D1">
        <w:rPr>
          <w:rFonts w:ascii="Times New Roman" w:eastAsia="Times New Roman" w:hAnsi="Times New Roman" w:cs="Times New Roman"/>
          <w:color w:val="FF0000"/>
          <w:sz w:val="22"/>
          <w:szCs w:val="22"/>
        </w:rPr>
        <w:br/>
      </w:r>
      <w:r w:rsidR="0030151B" w:rsidRPr="00E520D1">
        <w:rPr>
          <w:rFonts w:ascii="Times New Roman" w:eastAsia="Times New Roman" w:hAnsi="Times New Roman" w:cs="Times New Roman"/>
          <w:sz w:val="22"/>
          <w:szCs w:val="22"/>
        </w:rPr>
        <w:t xml:space="preserve"> </w:t>
      </w:r>
      <w:r w:rsidR="002B79AC" w:rsidRPr="00E520D1">
        <w:rPr>
          <w:rFonts w:ascii="Times New Roman" w:eastAsia="Times New Roman" w:hAnsi="Times New Roman" w:cs="Times New Roman"/>
          <w:sz w:val="22"/>
          <w:szCs w:val="22"/>
        </w:rPr>
        <w:br/>
        <w:t xml:space="preserve">2) AWB and the meridional trough category (lines 495-510, 533-538). </w:t>
      </w:r>
      <w:r w:rsidR="002B79AC" w:rsidRPr="00E520D1">
        <w:rPr>
          <w:rFonts w:ascii="Times New Roman" w:eastAsia="Times New Roman" w:hAnsi="Times New Roman" w:cs="Times New Roman"/>
          <w:sz w:val="22"/>
          <w:szCs w:val="22"/>
        </w:rPr>
        <w:br/>
        <w:t xml:space="preserve">It's very interesting to me that the authors identify anticyclonic wave breaking in three of the four categories (meridional trough is the exception). Given the results of </w:t>
      </w:r>
      <w:proofErr w:type="spellStart"/>
      <w:r w:rsidR="002B79AC" w:rsidRPr="00E520D1">
        <w:rPr>
          <w:rFonts w:ascii="Times New Roman" w:eastAsia="Times New Roman" w:hAnsi="Times New Roman" w:cs="Times New Roman"/>
          <w:sz w:val="22"/>
          <w:szCs w:val="22"/>
        </w:rPr>
        <w:t>Galarneau</w:t>
      </w:r>
      <w:proofErr w:type="spellEnd"/>
      <w:r w:rsidR="002B79AC" w:rsidRPr="00E520D1">
        <w:rPr>
          <w:rFonts w:ascii="Times New Roman" w:eastAsia="Times New Roman" w:hAnsi="Times New Roman" w:cs="Times New Roman"/>
          <w:sz w:val="22"/>
          <w:szCs w:val="22"/>
        </w:rPr>
        <w:t xml:space="preserve"> et al. 2015 and McTaggart-Cowan et al. 2013, in which they suggest that AWB is an important feature of TC formation in the vicinity of upper tropospheric disturbances, I'm wondering about the implications of the lack of AWB. I'm interested in learning what is different about the meridional trough category. What do the authors think permits STC formation without AWB?</w:t>
      </w:r>
    </w:p>
    <w:p w14:paraId="45BC66EC" w14:textId="77777777" w:rsidR="00345B38" w:rsidRPr="00E520D1" w:rsidRDefault="009E65B8" w:rsidP="00E30BDA">
      <w:pPr>
        <w:widowControl w:val="0"/>
        <w:autoSpaceDE w:val="0"/>
        <w:autoSpaceDN w:val="0"/>
        <w:adjustRightInd w:val="0"/>
        <w:spacing w:after="240"/>
        <w:rPr>
          <w:rFonts w:ascii="Times New Roman" w:eastAsia="Times New Roman" w:hAnsi="Times New Roman" w:cs="Times New Roman"/>
          <w:sz w:val="22"/>
          <w:szCs w:val="22"/>
        </w:rPr>
      </w:pPr>
      <w:r w:rsidRPr="00E520D1">
        <w:rPr>
          <w:rFonts w:ascii="Times New Roman" w:eastAsia="Times New Roman" w:hAnsi="Times New Roman" w:cs="Times New Roman"/>
          <w:color w:val="FF0000"/>
          <w:sz w:val="22"/>
          <w:szCs w:val="22"/>
        </w:rPr>
        <w:t>The authors believe that STC formation in the meridional trough category, which occurs in the absence of AWB, is facilitated by QG forcing for ascent downstream of the upper-tropospheric trough axis that enables the development of midtropospheric ascent and deep convection. This point is emphasized in the text on L337</w:t>
      </w:r>
      <w:r w:rsidRPr="00E520D1">
        <w:rPr>
          <w:rFonts w:ascii="Times New Roman" w:hAnsi="Times New Roman" w:cs="Times New Roman"/>
          <w:color w:val="FF0000"/>
          <w:sz w:val="22"/>
          <w:szCs w:val="22"/>
        </w:rPr>
        <w:t>–341, L436–443, and L505–508. In addition, vertical motion and QG forcing for ascent associated with the meridional trough category are shown in Figs. 12,13</w:t>
      </w:r>
      <w:r w:rsidR="009C2D4A" w:rsidRPr="00E520D1">
        <w:rPr>
          <w:rFonts w:ascii="Times New Roman" w:hAnsi="Times New Roman" w:cs="Times New Roman"/>
          <w:color w:val="FF0000"/>
          <w:sz w:val="22"/>
          <w:szCs w:val="22"/>
        </w:rPr>
        <w:t xml:space="preserve">, which depict zoomed-in views of the meridional trough composites between </w:t>
      </w:r>
      <w:r w:rsidR="009C2D4A" w:rsidRPr="00E520D1">
        <w:rPr>
          <w:rFonts w:ascii="Times New Roman" w:hAnsi="Times New Roman" w:cs="Times New Roman"/>
          <w:i/>
          <w:color w:val="FF0000"/>
          <w:sz w:val="22"/>
          <w:szCs w:val="22"/>
        </w:rPr>
        <w:t>t</w:t>
      </w:r>
      <w:r w:rsidR="009C2D4A" w:rsidRPr="00E520D1">
        <w:rPr>
          <w:rFonts w:ascii="Times New Roman" w:hAnsi="Times New Roman" w:cs="Times New Roman"/>
          <w:color w:val="FF0000"/>
          <w:sz w:val="22"/>
          <w:szCs w:val="22"/>
          <w:vertAlign w:val="subscript"/>
        </w:rPr>
        <w:t>0</w:t>
      </w:r>
      <w:r w:rsidR="009C2D4A" w:rsidRPr="00E520D1">
        <w:rPr>
          <w:rFonts w:ascii="Times New Roman" w:hAnsi="Times New Roman" w:cs="Times New Roman"/>
          <w:color w:val="FF0000"/>
          <w:sz w:val="22"/>
          <w:szCs w:val="22"/>
        </w:rPr>
        <w:t xml:space="preserve"> − 48 h and </w:t>
      </w:r>
      <w:r w:rsidR="009C2D4A" w:rsidRPr="00E520D1">
        <w:rPr>
          <w:rFonts w:ascii="Times New Roman" w:hAnsi="Times New Roman" w:cs="Times New Roman"/>
          <w:i/>
          <w:color w:val="FF0000"/>
          <w:sz w:val="22"/>
          <w:szCs w:val="22"/>
        </w:rPr>
        <w:t>t</w:t>
      </w:r>
      <w:r w:rsidR="009C2D4A" w:rsidRPr="00E520D1">
        <w:rPr>
          <w:rFonts w:ascii="Times New Roman" w:hAnsi="Times New Roman" w:cs="Times New Roman"/>
          <w:color w:val="FF0000"/>
          <w:sz w:val="22"/>
          <w:szCs w:val="22"/>
          <w:vertAlign w:val="subscript"/>
        </w:rPr>
        <w:t>0</w:t>
      </w:r>
      <w:r w:rsidR="009C2D4A" w:rsidRPr="00E520D1">
        <w:rPr>
          <w:rFonts w:ascii="Times New Roman" w:hAnsi="Times New Roman" w:cs="Times New Roman"/>
          <w:color w:val="FF0000"/>
          <w:sz w:val="22"/>
          <w:szCs w:val="22"/>
        </w:rPr>
        <w:t>.</w:t>
      </w:r>
      <w:r w:rsidRPr="00E520D1">
        <w:rPr>
          <w:rFonts w:ascii="Times New Roman" w:hAnsi="Times New Roman" w:cs="Times New Roman"/>
          <w:color w:val="FF0000"/>
          <w:sz w:val="22"/>
          <w:szCs w:val="22"/>
        </w:rPr>
        <w:t xml:space="preserve">  </w:t>
      </w:r>
      <w:r w:rsidR="00E30BDA" w:rsidRPr="00E520D1">
        <w:rPr>
          <w:rFonts w:ascii="Times New Roman" w:eastAsia="Times New Roman" w:hAnsi="Times New Roman" w:cs="Times New Roman"/>
          <w:sz w:val="22"/>
          <w:szCs w:val="22"/>
        </w:rPr>
        <w:br/>
      </w:r>
      <w:r w:rsidR="00E30BDA" w:rsidRPr="00E520D1">
        <w:rPr>
          <w:rFonts w:ascii="Times New Roman" w:eastAsia="Times New Roman" w:hAnsi="Times New Roman" w:cs="Times New Roman"/>
          <w:sz w:val="22"/>
          <w:szCs w:val="22"/>
        </w:rPr>
        <w:br/>
      </w:r>
      <w:r w:rsidR="00E30BDA" w:rsidRPr="00E520D1">
        <w:rPr>
          <w:rFonts w:ascii="Times New Roman" w:eastAsia="Times New Roman" w:hAnsi="Times New Roman" w:cs="Times New Roman"/>
          <w:b/>
          <w:sz w:val="22"/>
          <w:szCs w:val="22"/>
        </w:rPr>
        <w:t>Minor Comments</w:t>
      </w:r>
      <w:r w:rsidR="002B79AC" w:rsidRPr="00E520D1">
        <w:rPr>
          <w:rFonts w:ascii="Times New Roman" w:eastAsia="Times New Roman" w:hAnsi="Times New Roman" w:cs="Times New Roman"/>
          <w:sz w:val="22"/>
          <w:szCs w:val="22"/>
        </w:rPr>
        <w:br/>
        <w:t>1) Lines 148-211: Principle component analysis is a common technique in the field, but it still might be good to include a brief descriptive comparison of EOF and PC to assist in interpreting Figure 1. Lines 154-155 somewhat address the interpretation, but some additional information would have been helpful for me in knowing what the physical interpretation is here. Since the manuscript is focused on a physical/dynamical understanding of STC formation, and this section supports the 4-category division, it seems important to provide additional explanation here.</w:t>
      </w:r>
    </w:p>
    <w:p w14:paraId="6299756A" w14:textId="07955599" w:rsidR="00280927" w:rsidRPr="00E520D1" w:rsidRDefault="00B2315D" w:rsidP="00E30BDA">
      <w:pPr>
        <w:widowControl w:val="0"/>
        <w:autoSpaceDE w:val="0"/>
        <w:autoSpaceDN w:val="0"/>
        <w:adjustRightInd w:val="0"/>
        <w:spacing w:after="240"/>
        <w:rPr>
          <w:rFonts w:ascii="Times New Roman" w:eastAsia="Times New Roman" w:hAnsi="Times New Roman" w:cs="Times New Roman"/>
          <w:sz w:val="22"/>
          <w:szCs w:val="22"/>
        </w:rPr>
      </w:pPr>
      <w:r w:rsidRPr="00E520D1">
        <w:rPr>
          <w:rFonts w:ascii="Times New Roman" w:eastAsia="Times New Roman" w:hAnsi="Times New Roman" w:cs="Times New Roman"/>
          <w:color w:val="FF0000"/>
          <w:sz w:val="22"/>
          <w:szCs w:val="22"/>
        </w:rPr>
        <w:t xml:space="preserve">Good suggestion. The authors have added new text in section 2 designed to facilitate the interpretation of the EOF analysis. </w:t>
      </w:r>
      <w:r w:rsidR="00FC0929" w:rsidRPr="00E520D1">
        <w:rPr>
          <w:rFonts w:ascii="Times New Roman" w:eastAsia="Times New Roman" w:hAnsi="Times New Roman" w:cs="Times New Roman"/>
          <w:color w:val="FF0000"/>
          <w:sz w:val="22"/>
          <w:szCs w:val="22"/>
        </w:rPr>
        <w:t>T</w:t>
      </w:r>
      <w:r w:rsidRPr="00E520D1">
        <w:rPr>
          <w:rFonts w:ascii="Times New Roman" w:eastAsia="Times New Roman" w:hAnsi="Times New Roman" w:cs="Times New Roman"/>
          <w:color w:val="FF0000"/>
          <w:sz w:val="22"/>
          <w:szCs w:val="22"/>
        </w:rPr>
        <w:t>ext on L158</w:t>
      </w:r>
      <w:r w:rsidRPr="00E520D1">
        <w:rPr>
          <w:rFonts w:ascii="Times New Roman" w:hAnsi="Times New Roman" w:cs="Times New Roman"/>
          <w:color w:val="FF0000"/>
          <w:sz w:val="22"/>
          <w:szCs w:val="22"/>
        </w:rPr>
        <w:t xml:space="preserve">–160 </w:t>
      </w:r>
      <w:r w:rsidR="00FC0929" w:rsidRPr="00E520D1">
        <w:rPr>
          <w:rFonts w:ascii="Times New Roman" w:hAnsi="Times New Roman" w:cs="Times New Roman"/>
          <w:color w:val="FF0000"/>
          <w:sz w:val="22"/>
          <w:szCs w:val="22"/>
        </w:rPr>
        <w:t>indicates that</w:t>
      </w:r>
      <w:r w:rsidRPr="00E520D1">
        <w:rPr>
          <w:rFonts w:ascii="Times New Roman" w:hAnsi="Times New Roman" w:cs="Times New Roman"/>
          <w:color w:val="FF0000"/>
          <w:sz w:val="22"/>
          <w:szCs w:val="22"/>
        </w:rPr>
        <w:t xml:space="preserve"> similar PCs are associated with similar patterns of upper-tropospheric PV, and </w:t>
      </w:r>
      <w:r w:rsidR="00FC0929" w:rsidRPr="00E520D1">
        <w:rPr>
          <w:rFonts w:ascii="Times New Roman" w:hAnsi="Times New Roman" w:cs="Times New Roman"/>
          <w:color w:val="FF0000"/>
          <w:sz w:val="22"/>
          <w:szCs w:val="22"/>
        </w:rPr>
        <w:t>that</w:t>
      </w:r>
      <w:r w:rsidRPr="00E520D1">
        <w:rPr>
          <w:rFonts w:ascii="Times New Roman" w:hAnsi="Times New Roman" w:cs="Times New Roman"/>
          <w:color w:val="FF0000"/>
          <w:sz w:val="22"/>
          <w:szCs w:val="22"/>
        </w:rPr>
        <w:t xml:space="preserve"> STCs with similar PCs would ideally be included in the same subjective constructed category. In addition, the physical interpretation of positive/negative values of PC1 and PC2 are now discussed on L173–178 and L187–</w:t>
      </w:r>
      <w:r w:rsidR="00FC0929" w:rsidRPr="00E520D1">
        <w:rPr>
          <w:rFonts w:ascii="Times New Roman" w:hAnsi="Times New Roman" w:cs="Times New Roman"/>
          <w:color w:val="FF0000"/>
          <w:sz w:val="22"/>
          <w:szCs w:val="22"/>
        </w:rPr>
        <w:t>192</w:t>
      </w:r>
      <w:r w:rsidRPr="00E520D1">
        <w:rPr>
          <w:rFonts w:ascii="Times New Roman" w:hAnsi="Times New Roman" w:cs="Times New Roman"/>
          <w:color w:val="FF0000"/>
          <w:sz w:val="22"/>
          <w:szCs w:val="22"/>
        </w:rPr>
        <w:t xml:space="preserve">, respectively. </w:t>
      </w:r>
      <w:r w:rsidR="00FC0929" w:rsidRPr="00E520D1">
        <w:rPr>
          <w:rFonts w:ascii="Times New Roman" w:hAnsi="Times New Roman" w:cs="Times New Roman"/>
          <w:color w:val="FF0000"/>
          <w:sz w:val="22"/>
          <w:szCs w:val="22"/>
        </w:rPr>
        <w:t>Characteristics of the upper-tropospheric features associated with STCs included in the cutoff low, meridional trough, and zonal trough categories are discussed on L193–214. Caveats of the EOF analysis are discussed more explicitly on L215–228.</w:t>
      </w:r>
      <w:r w:rsidR="002B79AC" w:rsidRPr="00E520D1">
        <w:rPr>
          <w:rFonts w:ascii="Times New Roman" w:eastAsia="Times New Roman" w:hAnsi="Times New Roman" w:cs="Times New Roman"/>
          <w:color w:val="FF0000"/>
          <w:sz w:val="22"/>
          <w:szCs w:val="22"/>
        </w:rPr>
        <w:br/>
      </w:r>
      <w:r w:rsidR="002B79AC" w:rsidRPr="00E520D1">
        <w:rPr>
          <w:rFonts w:ascii="Times New Roman" w:eastAsia="Times New Roman" w:hAnsi="Times New Roman" w:cs="Times New Roman"/>
          <w:sz w:val="22"/>
          <w:szCs w:val="22"/>
        </w:rPr>
        <w:br/>
        <w:t>2) Figure 2 / lines 159-211: There appear to be two groupings of the unclassifiable category in this figure. On the left, there is a spray of gray dots among the yellow/meridional trough category, and on the right there is a cluster of gray dots near the subtropical disturbance/zonal trough area. If the authors decide to leave in the unclassifiable category in this figure, they should address the structure in this figure, because it really looks like they have additional meridional trough cases and a few additional ST disturbance/zonal trough cases base</w:t>
      </w:r>
      <w:r w:rsidR="00E30BDA" w:rsidRPr="00E520D1">
        <w:rPr>
          <w:rFonts w:ascii="Times New Roman" w:eastAsia="Times New Roman" w:hAnsi="Times New Roman" w:cs="Times New Roman"/>
          <w:sz w:val="22"/>
          <w:szCs w:val="22"/>
        </w:rPr>
        <w:t xml:space="preserve">d on the principle components. </w:t>
      </w:r>
      <w:r w:rsidR="002B79AC" w:rsidRPr="00E520D1">
        <w:rPr>
          <w:rFonts w:ascii="Times New Roman" w:eastAsia="Times New Roman" w:hAnsi="Times New Roman" w:cs="Times New Roman"/>
          <w:sz w:val="22"/>
          <w:szCs w:val="22"/>
        </w:rPr>
        <w:t xml:space="preserve">These "unclassifiable" systems are certainly worthy of further investigation, though. </w:t>
      </w:r>
    </w:p>
    <w:p w14:paraId="2B4CA71A" w14:textId="75325909" w:rsidR="004639A5" w:rsidRPr="00E520D1" w:rsidRDefault="004639A5" w:rsidP="00E30BDA">
      <w:pPr>
        <w:widowControl w:val="0"/>
        <w:autoSpaceDE w:val="0"/>
        <w:autoSpaceDN w:val="0"/>
        <w:adjustRightInd w:val="0"/>
        <w:spacing w:after="240"/>
        <w:rPr>
          <w:rFonts w:ascii="Times New Roman" w:eastAsia="Times New Roman" w:hAnsi="Times New Roman" w:cs="Times New Roman"/>
          <w:sz w:val="22"/>
          <w:szCs w:val="22"/>
        </w:rPr>
      </w:pPr>
      <w:r w:rsidRPr="00E520D1">
        <w:rPr>
          <w:rFonts w:ascii="Times New Roman" w:eastAsia="Times New Roman" w:hAnsi="Times New Roman" w:cs="Times New Roman"/>
          <w:color w:val="FF0000"/>
          <w:sz w:val="22"/>
          <w:szCs w:val="22"/>
        </w:rPr>
        <w:t xml:space="preserve">Unclassifiable STCs included in Fig. 4a </w:t>
      </w:r>
      <w:r w:rsidR="00605591" w:rsidRPr="00E520D1">
        <w:rPr>
          <w:rFonts w:ascii="Times New Roman" w:eastAsia="Times New Roman" w:hAnsi="Times New Roman" w:cs="Times New Roman"/>
          <w:color w:val="FF0000"/>
          <w:sz w:val="22"/>
          <w:szCs w:val="22"/>
        </w:rPr>
        <w:t>do not form in association</w:t>
      </w:r>
      <w:r w:rsidRPr="00E520D1">
        <w:rPr>
          <w:rFonts w:ascii="Times New Roman" w:eastAsia="Times New Roman" w:hAnsi="Times New Roman" w:cs="Times New Roman"/>
          <w:color w:val="FF0000"/>
          <w:sz w:val="22"/>
          <w:szCs w:val="22"/>
        </w:rPr>
        <w:t xml:space="preserve"> with </w:t>
      </w:r>
      <w:r w:rsidR="00605591" w:rsidRPr="00E520D1">
        <w:rPr>
          <w:rFonts w:ascii="Times New Roman" w:eastAsia="Times New Roman" w:hAnsi="Times New Roman" w:cs="Times New Roman"/>
          <w:color w:val="FF0000"/>
          <w:sz w:val="22"/>
          <w:szCs w:val="22"/>
        </w:rPr>
        <w:t>an upper-tropospheric feature whose evolution is</w:t>
      </w:r>
      <w:r w:rsidRPr="00E520D1">
        <w:rPr>
          <w:rFonts w:ascii="Times New Roman" w:eastAsia="Times New Roman" w:hAnsi="Times New Roman" w:cs="Times New Roman"/>
          <w:color w:val="FF0000"/>
          <w:sz w:val="22"/>
          <w:szCs w:val="22"/>
        </w:rPr>
        <w:t xml:space="preserve"> characteristic of cutoff lows, meridional troughs, or zonal troughs during the five days prior to STC formation (L146</w:t>
      </w:r>
      <w:r w:rsidRPr="00E520D1">
        <w:rPr>
          <w:rFonts w:ascii="Times New Roman" w:hAnsi="Times New Roman" w:cs="Times New Roman"/>
          <w:color w:val="FF0000"/>
          <w:sz w:val="22"/>
          <w:szCs w:val="22"/>
        </w:rPr>
        <w:t>–148)</w:t>
      </w:r>
      <w:r w:rsidRPr="00E520D1">
        <w:rPr>
          <w:rFonts w:ascii="Times New Roman" w:eastAsia="Times New Roman" w:hAnsi="Times New Roman" w:cs="Times New Roman"/>
          <w:color w:val="FF0000"/>
          <w:sz w:val="22"/>
          <w:szCs w:val="22"/>
        </w:rPr>
        <w:t xml:space="preserve">. </w:t>
      </w:r>
      <w:r w:rsidR="00605591" w:rsidRPr="00E520D1">
        <w:rPr>
          <w:rFonts w:ascii="Times New Roman" w:eastAsia="Times New Roman" w:hAnsi="Times New Roman" w:cs="Times New Roman"/>
          <w:color w:val="FF0000"/>
          <w:sz w:val="22"/>
          <w:szCs w:val="22"/>
        </w:rPr>
        <w:t>Therefore, t</w:t>
      </w:r>
      <w:r w:rsidRPr="00E520D1">
        <w:rPr>
          <w:rFonts w:ascii="Times New Roman" w:eastAsia="Times New Roman" w:hAnsi="Times New Roman" w:cs="Times New Roman"/>
          <w:color w:val="FF0000"/>
          <w:sz w:val="22"/>
          <w:szCs w:val="22"/>
        </w:rPr>
        <w:t xml:space="preserve">he unclassifiable cases </w:t>
      </w:r>
      <w:r w:rsidR="00605591" w:rsidRPr="00E520D1">
        <w:rPr>
          <w:rFonts w:ascii="Times New Roman" w:eastAsia="Times New Roman" w:hAnsi="Times New Roman" w:cs="Times New Roman"/>
          <w:color w:val="FF0000"/>
          <w:sz w:val="22"/>
          <w:szCs w:val="22"/>
        </w:rPr>
        <w:t xml:space="preserve">mentioned </w:t>
      </w:r>
      <w:r w:rsidRPr="00E520D1">
        <w:rPr>
          <w:rFonts w:ascii="Times New Roman" w:eastAsia="Times New Roman" w:hAnsi="Times New Roman" w:cs="Times New Roman"/>
          <w:color w:val="FF0000"/>
          <w:sz w:val="22"/>
          <w:szCs w:val="22"/>
        </w:rPr>
        <w:t xml:space="preserve">by the reviewer </w:t>
      </w:r>
      <w:r w:rsidR="00605591" w:rsidRPr="00E520D1">
        <w:rPr>
          <w:rFonts w:ascii="Times New Roman" w:eastAsia="Times New Roman" w:hAnsi="Times New Roman" w:cs="Times New Roman"/>
          <w:color w:val="FF0000"/>
          <w:sz w:val="22"/>
          <w:szCs w:val="22"/>
        </w:rPr>
        <w:t>in the PC1</w:t>
      </w:r>
      <w:r w:rsidR="00605591" w:rsidRPr="00E520D1">
        <w:rPr>
          <w:rFonts w:ascii="Times New Roman" w:hAnsi="Times New Roman" w:cs="Times New Roman"/>
          <w:color w:val="FF0000"/>
          <w:sz w:val="22"/>
          <w:szCs w:val="22"/>
        </w:rPr>
        <w:t xml:space="preserve">–PC2 phase space may </w:t>
      </w:r>
      <w:r w:rsidR="00605591" w:rsidRPr="00E520D1">
        <w:rPr>
          <w:rFonts w:ascii="Times New Roman" w:eastAsia="Times New Roman" w:hAnsi="Times New Roman" w:cs="Times New Roman"/>
          <w:color w:val="FF0000"/>
          <w:sz w:val="22"/>
          <w:szCs w:val="22"/>
        </w:rPr>
        <w:t xml:space="preserve">have similar structures to STCs included in the meridional trough and zonal trough categories at </w:t>
      </w:r>
      <w:r w:rsidR="00605591" w:rsidRPr="00E520D1">
        <w:rPr>
          <w:rFonts w:ascii="Times New Roman" w:eastAsia="Times New Roman" w:hAnsi="Times New Roman" w:cs="Times New Roman"/>
          <w:i/>
          <w:color w:val="FF0000"/>
          <w:sz w:val="22"/>
          <w:szCs w:val="22"/>
        </w:rPr>
        <w:t>t</w:t>
      </w:r>
      <w:r w:rsidR="00605591" w:rsidRPr="00E520D1">
        <w:rPr>
          <w:rFonts w:ascii="Times New Roman" w:eastAsia="Times New Roman" w:hAnsi="Times New Roman" w:cs="Times New Roman"/>
          <w:color w:val="FF0000"/>
          <w:sz w:val="22"/>
          <w:szCs w:val="22"/>
          <w:vertAlign w:val="subscript"/>
        </w:rPr>
        <w:t>0</w:t>
      </w:r>
      <w:r w:rsidR="00605591" w:rsidRPr="00E520D1">
        <w:rPr>
          <w:rFonts w:ascii="Times New Roman" w:eastAsia="Times New Roman" w:hAnsi="Times New Roman" w:cs="Times New Roman"/>
          <w:color w:val="FF0000"/>
          <w:sz w:val="22"/>
          <w:szCs w:val="22"/>
        </w:rPr>
        <w:t xml:space="preserve">, do not exhibit the characteristic evolutions required of these categories during the five days prior to STC formation. This idea, though not explicitly used in reference to unclassifiable STCs, is included in the EOF caveats section on </w:t>
      </w:r>
      <w:r w:rsidR="00605591" w:rsidRPr="00E520D1">
        <w:rPr>
          <w:rFonts w:ascii="Times New Roman" w:hAnsi="Times New Roman" w:cs="Times New Roman"/>
          <w:color w:val="FF0000"/>
          <w:sz w:val="22"/>
          <w:szCs w:val="22"/>
        </w:rPr>
        <w:t>L215–228</w:t>
      </w:r>
      <w:r w:rsidR="00605591" w:rsidRPr="00E520D1">
        <w:rPr>
          <w:rFonts w:ascii="Times New Roman" w:eastAsia="Times New Roman" w:hAnsi="Times New Roman" w:cs="Times New Roman"/>
          <w:color w:val="FF0000"/>
          <w:sz w:val="22"/>
          <w:szCs w:val="22"/>
        </w:rPr>
        <w:t xml:space="preserve">. </w:t>
      </w:r>
      <w:r w:rsidR="002D00AA" w:rsidRPr="00E520D1">
        <w:rPr>
          <w:rFonts w:ascii="Times New Roman" w:eastAsia="Times New Roman" w:hAnsi="Times New Roman" w:cs="Times New Roman"/>
          <w:color w:val="FF0000"/>
          <w:sz w:val="22"/>
          <w:szCs w:val="22"/>
        </w:rPr>
        <w:t>Based on the reviewer’s comments, u</w:t>
      </w:r>
      <w:r w:rsidR="00605591" w:rsidRPr="00E520D1">
        <w:rPr>
          <w:rFonts w:ascii="Times New Roman" w:eastAsia="Times New Roman" w:hAnsi="Times New Roman" w:cs="Times New Roman"/>
          <w:color w:val="FF0000"/>
          <w:sz w:val="22"/>
          <w:szCs w:val="22"/>
        </w:rPr>
        <w:t xml:space="preserve">nclassifiable STCs are now colored white </w:t>
      </w:r>
      <w:r w:rsidR="002D00AA" w:rsidRPr="00E520D1">
        <w:rPr>
          <w:rFonts w:ascii="Times New Roman" w:eastAsia="Times New Roman" w:hAnsi="Times New Roman" w:cs="Times New Roman"/>
          <w:color w:val="FF0000"/>
          <w:sz w:val="22"/>
          <w:szCs w:val="22"/>
        </w:rPr>
        <w:t xml:space="preserve">in Fig. 4a </w:t>
      </w:r>
      <w:r w:rsidR="00605591" w:rsidRPr="00E520D1">
        <w:rPr>
          <w:rFonts w:ascii="Times New Roman" w:eastAsia="Times New Roman" w:hAnsi="Times New Roman" w:cs="Times New Roman"/>
          <w:color w:val="FF0000"/>
          <w:sz w:val="22"/>
          <w:szCs w:val="22"/>
        </w:rPr>
        <w:t xml:space="preserve">in order for them to be less distracting to readers. </w:t>
      </w:r>
    </w:p>
    <w:p w14:paraId="5946F978" w14:textId="5A7511FB" w:rsidR="00E30BDA" w:rsidRPr="00E520D1" w:rsidRDefault="002B79AC" w:rsidP="002B79AC">
      <w:pPr>
        <w:rPr>
          <w:rFonts w:ascii="Times New Roman" w:eastAsia="Times New Roman" w:hAnsi="Times New Roman" w:cs="Times New Roman"/>
          <w:sz w:val="22"/>
          <w:szCs w:val="22"/>
        </w:rPr>
      </w:pPr>
      <w:r w:rsidRPr="00E520D1">
        <w:rPr>
          <w:rFonts w:ascii="Times New Roman" w:eastAsia="Times New Roman" w:hAnsi="Times New Roman" w:cs="Times New Roman"/>
          <w:sz w:val="22"/>
          <w:szCs w:val="22"/>
        </w:rPr>
        <w:t xml:space="preserve">3) Lines 309, 314: I am really interested in the large range of values for the CI. Could the authors comment on the time patterns of CI values around the time of STC formation? For example, are they relatively steady from t-12 h to t0 to t+12 h? NHC has often commented on the relatively subjective nature of determining the time of subtropical cyclone formation in their discussions, and I wonder how the means would change by adjusting formation times by +/- 12 h. </w:t>
      </w:r>
    </w:p>
    <w:p w14:paraId="5A6FDB09" w14:textId="77777777" w:rsidR="00496CDD" w:rsidRPr="00E520D1" w:rsidRDefault="00496CDD" w:rsidP="002B79AC">
      <w:pPr>
        <w:rPr>
          <w:rFonts w:ascii="Times New Roman" w:eastAsia="Times New Roman" w:hAnsi="Times New Roman" w:cs="Times New Roman"/>
          <w:sz w:val="22"/>
          <w:szCs w:val="22"/>
        </w:rPr>
      </w:pPr>
    </w:p>
    <w:p w14:paraId="0AA8CBAB" w14:textId="419B0D92" w:rsidR="00496CDD" w:rsidRPr="00E520D1" w:rsidRDefault="00496CDD" w:rsidP="002B79AC">
      <w:pPr>
        <w:rPr>
          <w:rFonts w:ascii="Times New Roman" w:eastAsia="Times New Roman" w:hAnsi="Times New Roman" w:cs="Times New Roman"/>
          <w:color w:val="FF0000"/>
          <w:sz w:val="22"/>
          <w:szCs w:val="22"/>
        </w:rPr>
      </w:pPr>
      <w:r w:rsidRPr="00E520D1">
        <w:rPr>
          <w:rFonts w:ascii="Times New Roman" w:eastAsia="Times New Roman" w:hAnsi="Times New Roman" w:cs="Times New Roman"/>
          <w:color w:val="FF0000"/>
          <w:sz w:val="22"/>
          <w:szCs w:val="22"/>
        </w:rPr>
        <w:t xml:space="preserve">Great question. The authors have calculated the means and standard deviation of CI values calculated in a 3° × 3° box centered over the location of STC formation at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 12 h,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and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+ 12 h. </w:t>
      </w:r>
      <w:r w:rsidRPr="00E520D1">
        <w:rPr>
          <w:rFonts w:ascii="Times New Roman" w:eastAsia="Times New Roman" w:hAnsi="Times New Roman" w:cs="Times New Roman"/>
          <w:color w:val="FF0000"/>
          <w:sz w:val="22"/>
          <w:szCs w:val="22"/>
        </w:rPr>
        <w:t xml:space="preserve">Results indicate that mean CI values decrease by several degrees over the location of STC formation between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 12 h and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in the cutoff low category, staying relatively low between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and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+ 12 h.</w:t>
      </w:r>
      <w:r w:rsidR="00C6286A" w:rsidRPr="00E520D1">
        <w:rPr>
          <w:rFonts w:ascii="Times New Roman" w:hAnsi="Times New Roman" w:cs="Times New Roman"/>
          <w:color w:val="FF0000"/>
          <w:sz w:val="22"/>
          <w:szCs w:val="22"/>
        </w:rPr>
        <w:t xml:space="preserve"> CI values decrease slightly in the meridional trough category between </w:t>
      </w:r>
      <w:r w:rsidR="00C6286A" w:rsidRPr="00E520D1">
        <w:rPr>
          <w:rFonts w:ascii="Times New Roman" w:hAnsi="Times New Roman" w:cs="Times New Roman"/>
          <w:i/>
          <w:color w:val="FF0000"/>
          <w:sz w:val="22"/>
          <w:szCs w:val="22"/>
        </w:rPr>
        <w:t>t</w:t>
      </w:r>
      <w:r w:rsidR="00C6286A" w:rsidRPr="00E520D1">
        <w:rPr>
          <w:rFonts w:ascii="Times New Roman" w:hAnsi="Times New Roman" w:cs="Times New Roman"/>
          <w:color w:val="FF0000"/>
          <w:sz w:val="22"/>
          <w:szCs w:val="22"/>
          <w:vertAlign w:val="subscript"/>
        </w:rPr>
        <w:t>0</w:t>
      </w:r>
      <w:r w:rsidR="00C6286A" w:rsidRPr="00E520D1">
        <w:rPr>
          <w:rFonts w:ascii="Times New Roman" w:hAnsi="Times New Roman" w:cs="Times New Roman"/>
          <w:color w:val="FF0000"/>
          <w:sz w:val="22"/>
          <w:szCs w:val="22"/>
        </w:rPr>
        <w:t xml:space="preserve"> – 12 h and </w:t>
      </w:r>
      <w:r w:rsidR="00C6286A" w:rsidRPr="00E520D1">
        <w:rPr>
          <w:rFonts w:ascii="Times New Roman" w:hAnsi="Times New Roman" w:cs="Times New Roman"/>
          <w:i/>
          <w:color w:val="FF0000"/>
          <w:sz w:val="22"/>
          <w:szCs w:val="22"/>
        </w:rPr>
        <w:t>t</w:t>
      </w:r>
      <w:r w:rsidR="00C6286A" w:rsidRPr="00E520D1">
        <w:rPr>
          <w:rFonts w:ascii="Times New Roman" w:hAnsi="Times New Roman" w:cs="Times New Roman"/>
          <w:color w:val="FF0000"/>
          <w:sz w:val="22"/>
          <w:szCs w:val="22"/>
          <w:vertAlign w:val="subscript"/>
        </w:rPr>
        <w:t>0</w:t>
      </w:r>
      <w:r w:rsidR="00C6286A" w:rsidRPr="00E520D1">
        <w:rPr>
          <w:rFonts w:ascii="Times New Roman" w:hAnsi="Times New Roman" w:cs="Times New Roman"/>
          <w:color w:val="FF0000"/>
          <w:sz w:val="22"/>
          <w:szCs w:val="22"/>
        </w:rPr>
        <w:t xml:space="preserve"> + 12 h, likely as the meridional trough slowly progresses eastward toward the location of STC formation. CI values increase slightly in the zonal trough category between </w:t>
      </w:r>
      <w:r w:rsidR="00C6286A" w:rsidRPr="00E520D1">
        <w:rPr>
          <w:rFonts w:ascii="Times New Roman" w:hAnsi="Times New Roman" w:cs="Times New Roman"/>
          <w:i/>
          <w:color w:val="FF0000"/>
          <w:sz w:val="22"/>
          <w:szCs w:val="22"/>
        </w:rPr>
        <w:t>t</w:t>
      </w:r>
      <w:r w:rsidR="00C6286A" w:rsidRPr="00E520D1">
        <w:rPr>
          <w:rFonts w:ascii="Times New Roman" w:hAnsi="Times New Roman" w:cs="Times New Roman"/>
          <w:color w:val="FF0000"/>
          <w:sz w:val="22"/>
          <w:szCs w:val="22"/>
          <w:vertAlign w:val="subscript"/>
        </w:rPr>
        <w:t>0</w:t>
      </w:r>
      <w:r w:rsidR="00C6286A" w:rsidRPr="00E520D1">
        <w:rPr>
          <w:rFonts w:ascii="Times New Roman" w:hAnsi="Times New Roman" w:cs="Times New Roman"/>
          <w:color w:val="FF0000"/>
          <w:sz w:val="22"/>
          <w:szCs w:val="22"/>
        </w:rPr>
        <w:t xml:space="preserve"> – 12 h and </w:t>
      </w:r>
      <w:r w:rsidR="00C6286A" w:rsidRPr="00E520D1">
        <w:rPr>
          <w:rFonts w:ascii="Times New Roman" w:hAnsi="Times New Roman" w:cs="Times New Roman"/>
          <w:i/>
          <w:color w:val="FF0000"/>
          <w:sz w:val="22"/>
          <w:szCs w:val="22"/>
        </w:rPr>
        <w:t>t</w:t>
      </w:r>
      <w:r w:rsidR="00C6286A" w:rsidRPr="00E520D1">
        <w:rPr>
          <w:rFonts w:ascii="Times New Roman" w:hAnsi="Times New Roman" w:cs="Times New Roman"/>
          <w:color w:val="FF0000"/>
          <w:sz w:val="22"/>
          <w:szCs w:val="22"/>
          <w:vertAlign w:val="subscript"/>
        </w:rPr>
        <w:t>0</w:t>
      </w:r>
      <w:r w:rsidR="00C6286A" w:rsidRPr="00E520D1">
        <w:rPr>
          <w:rFonts w:ascii="Times New Roman" w:hAnsi="Times New Roman" w:cs="Times New Roman"/>
          <w:color w:val="FF0000"/>
          <w:sz w:val="22"/>
          <w:szCs w:val="22"/>
        </w:rPr>
        <w:t xml:space="preserve"> + 12 h as the zonal trough progresses from east to west, away from the location of STC formation. </w:t>
      </w:r>
    </w:p>
    <w:p w14:paraId="15FD3CD0" w14:textId="77777777" w:rsidR="00280927" w:rsidRPr="00E520D1" w:rsidRDefault="00280927" w:rsidP="002B79AC">
      <w:pPr>
        <w:rPr>
          <w:rFonts w:ascii="Times New Roman" w:eastAsia="Times New Roman" w:hAnsi="Times New Roman" w:cs="Times New Roman"/>
          <w:color w:val="FF0000"/>
          <w:sz w:val="22"/>
          <w:szCs w:val="22"/>
        </w:rPr>
      </w:pPr>
    </w:p>
    <w:tbl>
      <w:tblPr>
        <w:tblW w:w="4887"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079"/>
        <w:gridCol w:w="1457"/>
        <w:gridCol w:w="2055"/>
        <w:gridCol w:w="1934"/>
        <w:gridCol w:w="1835"/>
      </w:tblGrid>
      <w:tr w:rsidR="00280927" w:rsidRPr="00E520D1" w14:paraId="0E4F3FB6" w14:textId="77777777" w:rsidTr="00496CDD">
        <w:trPr>
          <w:trHeight w:val="546"/>
        </w:trPr>
        <w:tc>
          <w:tcPr>
            <w:tcW w:w="1888" w:type="pct"/>
            <w:gridSpan w:val="2"/>
            <w:vAlign w:val="center"/>
          </w:tcPr>
          <w:p w14:paraId="40B19925" w14:textId="77777777" w:rsidR="00280927" w:rsidRPr="00E520D1" w:rsidRDefault="00280927" w:rsidP="008B676C">
            <w:pPr>
              <w:contextualSpacing/>
              <w:jc w:val="center"/>
              <w:rPr>
                <w:rFonts w:ascii="Times New Roman" w:hAnsi="Times New Roman" w:cs="Times New Roman"/>
                <w:color w:val="000000" w:themeColor="text1"/>
                <w:sz w:val="22"/>
                <w:szCs w:val="22"/>
              </w:rPr>
            </w:pPr>
          </w:p>
        </w:tc>
        <w:tc>
          <w:tcPr>
            <w:tcW w:w="1098" w:type="pct"/>
            <w:vAlign w:val="center"/>
          </w:tcPr>
          <w:p w14:paraId="784D007F" w14:textId="48988830" w:rsidR="00280927" w:rsidRPr="00E520D1" w:rsidRDefault="00280927" w:rsidP="00280927">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CI (</w:t>
            </w:r>
            <w:r w:rsidRPr="00E520D1">
              <w:rPr>
                <w:rFonts w:ascii="Times New Roman" w:hAnsi="Times New Roman" w:cs="Times New Roman"/>
                <w:i/>
                <w:color w:val="000000" w:themeColor="text1"/>
                <w:sz w:val="22"/>
                <w:szCs w:val="22"/>
              </w:rPr>
              <w:t>t</w:t>
            </w:r>
            <w:r w:rsidRPr="00E520D1">
              <w:rPr>
                <w:rFonts w:ascii="Times New Roman" w:hAnsi="Times New Roman" w:cs="Times New Roman"/>
                <w:color w:val="000000" w:themeColor="text1"/>
                <w:sz w:val="22"/>
                <w:szCs w:val="22"/>
                <w:vertAlign w:val="subscript"/>
              </w:rPr>
              <w:t>0</w:t>
            </w:r>
            <w:r w:rsidRPr="00E520D1">
              <w:rPr>
                <w:rFonts w:ascii="Times New Roman" w:hAnsi="Times New Roman" w:cs="Times New Roman"/>
                <w:color w:val="000000" w:themeColor="text1"/>
                <w:sz w:val="22"/>
                <w:szCs w:val="22"/>
              </w:rPr>
              <w:t xml:space="preserve"> – 12 h) </w:t>
            </w:r>
          </w:p>
        </w:tc>
        <w:tc>
          <w:tcPr>
            <w:tcW w:w="1033" w:type="pct"/>
            <w:vAlign w:val="center"/>
          </w:tcPr>
          <w:p w14:paraId="3D190318" w14:textId="60434834" w:rsidR="00280927" w:rsidRPr="00E520D1" w:rsidRDefault="00280927" w:rsidP="00280927">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CI (</w:t>
            </w:r>
            <w:r w:rsidRPr="00E520D1">
              <w:rPr>
                <w:rFonts w:ascii="Times New Roman" w:hAnsi="Times New Roman" w:cs="Times New Roman"/>
                <w:i/>
                <w:color w:val="000000" w:themeColor="text1"/>
                <w:sz w:val="22"/>
                <w:szCs w:val="22"/>
              </w:rPr>
              <w:t>t</w:t>
            </w:r>
            <w:r w:rsidRPr="00E520D1">
              <w:rPr>
                <w:rFonts w:ascii="Times New Roman" w:hAnsi="Times New Roman" w:cs="Times New Roman"/>
                <w:color w:val="000000" w:themeColor="text1"/>
                <w:sz w:val="22"/>
                <w:szCs w:val="22"/>
                <w:vertAlign w:val="subscript"/>
              </w:rPr>
              <w:t>0</w:t>
            </w:r>
            <w:r w:rsidRPr="00E520D1">
              <w:rPr>
                <w:rFonts w:ascii="Times New Roman" w:hAnsi="Times New Roman" w:cs="Times New Roman"/>
                <w:color w:val="000000" w:themeColor="text1"/>
                <w:sz w:val="22"/>
                <w:szCs w:val="22"/>
              </w:rPr>
              <w:t>)</w:t>
            </w:r>
          </w:p>
        </w:tc>
        <w:tc>
          <w:tcPr>
            <w:tcW w:w="980" w:type="pct"/>
            <w:vAlign w:val="center"/>
          </w:tcPr>
          <w:p w14:paraId="03988C69" w14:textId="7CB0DFF2" w:rsidR="00280927" w:rsidRPr="00E520D1" w:rsidRDefault="00280927" w:rsidP="00280927">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CI (</w:t>
            </w:r>
            <w:r w:rsidRPr="00E520D1">
              <w:rPr>
                <w:rFonts w:ascii="Times New Roman" w:hAnsi="Times New Roman" w:cs="Times New Roman"/>
                <w:i/>
                <w:color w:val="000000" w:themeColor="text1"/>
                <w:sz w:val="22"/>
                <w:szCs w:val="22"/>
              </w:rPr>
              <w:t>t</w:t>
            </w:r>
            <w:r w:rsidRPr="00E520D1">
              <w:rPr>
                <w:rFonts w:ascii="Times New Roman" w:hAnsi="Times New Roman" w:cs="Times New Roman"/>
                <w:color w:val="000000" w:themeColor="text1"/>
                <w:sz w:val="22"/>
                <w:szCs w:val="22"/>
                <w:vertAlign w:val="subscript"/>
              </w:rPr>
              <w:t>0</w:t>
            </w:r>
            <w:r w:rsidRPr="00E520D1">
              <w:rPr>
                <w:rFonts w:ascii="Times New Roman" w:hAnsi="Times New Roman" w:cs="Times New Roman"/>
                <w:color w:val="000000" w:themeColor="text1"/>
                <w:sz w:val="22"/>
                <w:szCs w:val="22"/>
              </w:rPr>
              <w:t xml:space="preserve"> + 12 h)</w:t>
            </w:r>
          </w:p>
        </w:tc>
      </w:tr>
      <w:tr w:rsidR="00496CDD" w:rsidRPr="00E520D1" w14:paraId="268B0BAD" w14:textId="77777777" w:rsidTr="00496CDD">
        <w:trPr>
          <w:trHeight w:val="546"/>
        </w:trPr>
        <w:tc>
          <w:tcPr>
            <w:tcW w:w="1110" w:type="pct"/>
            <w:vMerge w:val="restart"/>
            <w:vAlign w:val="center"/>
          </w:tcPr>
          <w:p w14:paraId="114BD900"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Cutoff low</w:t>
            </w:r>
          </w:p>
          <w:p w14:paraId="25D08B1A"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w:t>
            </w:r>
            <w:r w:rsidRPr="00E520D1">
              <w:rPr>
                <w:rFonts w:ascii="Times New Roman" w:hAnsi="Times New Roman" w:cs="Times New Roman"/>
                <w:i/>
                <w:color w:val="000000" w:themeColor="text1"/>
                <w:sz w:val="22"/>
                <w:szCs w:val="22"/>
              </w:rPr>
              <w:t>N</w:t>
            </w:r>
            <w:r w:rsidRPr="00E520D1">
              <w:rPr>
                <w:rFonts w:ascii="Times New Roman" w:hAnsi="Times New Roman" w:cs="Times New Roman"/>
                <w:color w:val="000000" w:themeColor="text1"/>
                <w:sz w:val="22"/>
                <w:szCs w:val="22"/>
              </w:rPr>
              <w:t xml:space="preserve"> = 15) </w:t>
            </w:r>
          </w:p>
        </w:tc>
        <w:tc>
          <w:tcPr>
            <w:tcW w:w="778" w:type="pct"/>
            <w:shd w:val="clear" w:color="auto" w:fill="auto"/>
            <w:vAlign w:val="center"/>
          </w:tcPr>
          <w:p w14:paraId="4C751D77"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Mean</w:t>
            </w:r>
          </w:p>
        </w:tc>
        <w:tc>
          <w:tcPr>
            <w:tcW w:w="1098" w:type="pct"/>
            <w:shd w:val="clear" w:color="auto" w:fill="auto"/>
            <w:vAlign w:val="center"/>
          </w:tcPr>
          <w:p w14:paraId="43F840D6" w14:textId="460F3790"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15.0</w:t>
            </w:r>
          </w:p>
        </w:tc>
        <w:tc>
          <w:tcPr>
            <w:tcW w:w="1033" w:type="pct"/>
            <w:shd w:val="clear" w:color="auto" w:fill="auto"/>
            <w:vAlign w:val="center"/>
          </w:tcPr>
          <w:p w14:paraId="25DC2D15" w14:textId="56F1EBCF"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9.6</w:t>
            </w:r>
          </w:p>
        </w:tc>
        <w:tc>
          <w:tcPr>
            <w:tcW w:w="980" w:type="pct"/>
            <w:shd w:val="clear" w:color="auto" w:fill="auto"/>
            <w:vAlign w:val="center"/>
          </w:tcPr>
          <w:p w14:paraId="0ABA4238" w14:textId="30D393F2"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10.7</w:t>
            </w:r>
          </w:p>
        </w:tc>
      </w:tr>
      <w:tr w:rsidR="00496CDD" w:rsidRPr="00E520D1" w14:paraId="1B56D917" w14:textId="77777777" w:rsidTr="00496CDD">
        <w:trPr>
          <w:trHeight w:val="501"/>
        </w:trPr>
        <w:tc>
          <w:tcPr>
            <w:tcW w:w="1110" w:type="pct"/>
            <w:vMerge/>
            <w:vAlign w:val="center"/>
          </w:tcPr>
          <w:p w14:paraId="3F4BC191" w14:textId="77777777" w:rsidR="00280927" w:rsidRPr="00E520D1" w:rsidRDefault="00280927" w:rsidP="008B676C">
            <w:pPr>
              <w:contextualSpacing/>
              <w:jc w:val="center"/>
              <w:rPr>
                <w:rFonts w:ascii="Times New Roman" w:hAnsi="Times New Roman" w:cs="Times New Roman"/>
                <w:color w:val="000000" w:themeColor="text1"/>
                <w:sz w:val="22"/>
                <w:szCs w:val="22"/>
              </w:rPr>
            </w:pPr>
          </w:p>
        </w:tc>
        <w:tc>
          <w:tcPr>
            <w:tcW w:w="778" w:type="pct"/>
            <w:tcBorders>
              <w:bottom w:val="double" w:sz="4" w:space="0" w:color="auto"/>
            </w:tcBorders>
            <w:vAlign w:val="center"/>
          </w:tcPr>
          <w:p w14:paraId="584DA9B9" w14:textId="77777777" w:rsidR="00280927" w:rsidRPr="00E520D1" w:rsidRDefault="00280927" w:rsidP="008B676C">
            <w:pPr>
              <w:contextualSpacing/>
              <w:jc w:val="center"/>
              <w:rPr>
                <w:rFonts w:ascii="Times New Roman" w:hAnsi="Times New Roman" w:cs="Times New Roman"/>
                <w:color w:val="000000" w:themeColor="text1"/>
                <w:sz w:val="22"/>
                <w:szCs w:val="22"/>
              </w:rPr>
            </w:pPr>
            <w:proofErr w:type="spellStart"/>
            <w:r w:rsidRPr="00E520D1">
              <w:rPr>
                <w:rFonts w:ascii="Times New Roman" w:hAnsi="Times New Roman" w:cs="Times New Roman"/>
                <w:color w:val="000000" w:themeColor="text1"/>
                <w:sz w:val="22"/>
                <w:szCs w:val="22"/>
              </w:rPr>
              <w:t>Std</w:t>
            </w:r>
            <w:proofErr w:type="spellEnd"/>
            <w:r w:rsidRPr="00E520D1">
              <w:rPr>
                <w:rFonts w:ascii="Times New Roman" w:hAnsi="Times New Roman" w:cs="Times New Roman"/>
                <w:color w:val="000000" w:themeColor="text1"/>
                <w:sz w:val="22"/>
                <w:szCs w:val="22"/>
              </w:rPr>
              <w:t xml:space="preserve"> </w:t>
            </w:r>
            <w:proofErr w:type="spellStart"/>
            <w:r w:rsidRPr="00E520D1">
              <w:rPr>
                <w:rFonts w:ascii="Times New Roman" w:hAnsi="Times New Roman" w:cs="Times New Roman"/>
                <w:color w:val="000000" w:themeColor="text1"/>
                <w:sz w:val="22"/>
                <w:szCs w:val="22"/>
              </w:rPr>
              <w:t>dev</w:t>
            </w:r>
            <w:proofErr w:type="spellEnd"/>
          </w:p>
        </w:tc>
        <w:tc>
          <w:tcPr>
            <w:tcW w:w="1098" w:type="pct"/>
            <w:tcBorders>
              <w:bottom w:val="double" w:sz="4" w:space="0" w:color="auto"/>
            </w:tcBorders>
            <w:vAlign w:val="center"/>
          </w:tcPr>
          <w:p w14:paraId="3674F413" w14:textId="78546710"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9.5</w:t>
            </w:r>
          </w:p>
        </w:tc>
        <w:tc>
          <w:tcPr>
            <w:tcW w:w="1033" w:type="pct"/>
            <w:tcBorders>
              <w:bottom w:val="double" w:sz="4" w:space="0" w:color="auto"/>
            </w:tcBorders>
            <w:vAlign w:val="center"/>
          </w:tcPr>
          <w:p w14:paraId="3FC45CE3" w14:textId="5D8387E7"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5.6</w:t>
            </w:r>
          </w:p>
        </w:tc>
        <w:tc>
          <w:tcPr>
            <w:tcW w:w="980" w:type="pct"/>
            <w:tcBorders>
              <w:bottom w:val="double" w:sz="4" w:space="0" w:color="auto"/>
            </w:tcBorders>
            <w:vAlign w:val="center"/>
          </w:tcPr>
          <w:p w14:paraId="6B2C3E17" w14:textId="4AA8541E"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3.8</w:t>
            </w:r>
          </w:p>
        </w:tc>
      </w:tr>
      <w:tr w:rsidR="00496CDD" w:rsidRPr="00E520D1" w14:paraId="7FE56D52" w14:textId="77777777" w:rsidTr="00496CDD">
        <w:trPr>
          <w:trHeight w:val="510"/>
        </w:trPr>
        <w:tc>
          <w:tcPr>
            <w:tcW w:w="1110" w:type="pct"/>
            <w:vMerge w:val="restart"/>
            <w:vAlign w:val="center"/>
          </w:tcPr>
          <w:p w14:paraId="6DD30E03"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Meridional trough</w:t>
            </w:r>
          </w:p>
          <w:p w14:paraId="54CD6DF1"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w:t>
            </w:r>
            <w:r w:rsidRPr="00E520D1">
              <w:rPr>
                <w:rFonts w:ascii="Times New Roman" w:hAnsi="Times New Roman" w:cs="Times New Roman"/>
                <w:i/>
                <w:color w:val="000000" w:themeColor="text1"/>
                <w:sz w:val="22"/>
                <w:szCs w:val="22"/>
              </w:rPr>
              <w:t>N</w:t>
            </w:r>
            <w:r w:rsidRPr="00E520D1">
              <w:rPr>
                <w:rFonts w:ascii="Times New Roman" w:hAnsi="Times New Roman" w:cs="Times New Roman"/>
                <w:color w:val="000000" w:themeColor="text1"/>
                <w:sz w:val="22"/>
                <w:szCs w:val="22"/>
              </w:rPr>
              <w:t xml:space="preserve"> = 17)</w:t>
            </w:r>
          </w:p>
        </w:tc>
        <w:tc>
          <w:tcPr>
            <w:tcW w:w="778" w:type="pct"/>
            <w:shd w:val="clear" w:color="auto" w:fill="auto"/>
            <w:vAlign w:val="center"/>
          </w:tcPr>
          <w:p w14:paraId="67FFA345"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Mean</w:t>
            </w:r>
          </w:p>
        </w:tc>
        <w:tc>
          <w:tcPr>
            <w:tcW w:w="1098" w:type="pct"/>
            <w:shd w:val="clear" w:color="auto" w:fill="auto"/>
            <w:vAlign w:val="center"/>
          </w:tcPr>
          <w:p w14:paraId="55277D69" w14:textId="14242B4B"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18.7</w:t>
            </w:r>
          </w:p>
        </w:tc>
        <w:tc>
          <w:tcPr>
            <w:tcW w:w="1033" w:type="pct"/>
            <w:shd w:val="clear" w:color="auto" w:fill="auto"/>
            <w:vAlign w:val="center"/>
          </w:tcPr>
          <w:p w14:paraId="6702FBD6" w14:textId="18776B34"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17.7</w:t>
            </w:r>
          </w:p>
        </w:tc>
        <w:tc>
          <w:tcPr>
            <w:tcW w:w="980" w:type="pct"/>
            <w:shd w:val="clear" w:color="auto" w:fill="auto"/>
            <w:vAlign w:val="center"/>
          </w:tcPr>
          <w:p w14:paraId="788420A6" w14:textId="31504D54"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16.9</w:t>
            </w:r>
          </w:p>
        </w:tc>
      </w:tr>
      <w:tr w:rsidR="00496CDD" w:rsidRPr="00E520D1" w14:paraId="377727AD" w14:textId="77777777" w:rsidTr="00496CDD">
        <w:trPr>
          <w:trHeight w:val="519"/>
        </w:trPr>
        <w:tc>
          <w:tcPr>
            <w:tcW w:w="1110" w:type="pct"/>
            <w:vMerge/>
            <w:vAlign w:val="center"/>
          </w:tcPr>
          <w:p w14:paraId="1F9FEE15" w14:textId="77777777" w:rsidR="00280927" w:rsidRPr="00E520D1" w:rsidRDefault="00280927" w:rsidP="008B676C">
            <w:pPr>
              <w:contextualSpacing/>
              <w:jc w:val="center"/>
              <w:rPr>
                <w:rFonts w:ascii="Times New Roman" w:hAnsi="Times New Roman" w:cs="Times New Roman"/>
                <w:color w:val="000000" w:themeColor="text1"/>
                <w:sz w:val="22"/>
                <w:szCs w:val="22"/>
              </w:rPr>
            </w:pPr>
          </w:p>
        </w:tc>
        <w:tc>
          <w:tcPr>
            <w:tcW w:w="778" w:type="pct"/>
            <w:tcBorders>
              <w:bottom w:val="double" w:sz="4" w:space="0" w:color="auto"/>
            </w:tcBorders>
            <w:vAlign w:val="center"/>
          </w:tcPr>
          <w:p w14:paraId="557D68E1" w14:textId="77777777" w:rsidR="00280927" w:rsidRPr="00E520D1" w:rsidRDefault="00280927" w:rsidP="008B676C">
            <w:pPr>
              <w:contextualSpacing/>
              <w:jc w:val="center"/>
              <w:rPr>
                <w:rFonts w:ascii="Times New Roman" w:hAnsi="Times New Roman" w:cs="Times New Roman"/>
                <w:color w:val="000000" w:themeColor="text1"/>
                <w:sz w:val="22"/>
                <w:szCs w:val="22"/>
              </w:rPr>
            </w:pPr>
            <w:proofErr w:type="spellStart"/>
            <w:r w:rsidRPr="00E520D1">
              <w:rPr>
                <w:rFonts w:ascii="Times New Roman" w:hAnsi="Times New Roman" w:cs="Times New Roman"/>
                <w:color w:val="000000" w:themeColor="text1"/>
                <w:sz w:val="22"/>
                <w:szCs w:val="22"/>
              </w:rPr>
              <w:t>Std</w:t>
            </w:r>
            <w:proofErr w:type="spellEnd"/>
            <w:r w:rsidRPr="00E520D1">
              <w:rPr>
                <w:rFonts w:ascii="Times New Roman" w:hAnsi="Times New Roman" w:cs="Times New Roman"/>
                <w:color w:val="000000" w:themeColor="text1"/>
                <w:sz w:val="22"/>
                <w:szCs w:val="22"/>
              </w:rPr>
              <w:t xml:space="preserve"> </w:t>
            </w:r>
            <w:proofErr w:type="spellStart"/>
            <w:r w:rsidRPr="00E520D1">
              <w:rPr>
                <w:rFonts w:ascii="Times New Roman" w:hAnsi="Times New Roman" w:cs="Times New Roman"/>
                <w:color w:val="000000" w:themeColor="text1"/>
                <w:sz w:val="22"/>
                <w:szCs w:val="22"/>
              </w:rPr>
              <w:t>dev</w:t>
            </w:r>
            <w:proofErr w:type="spellEnd"/>
          </w:p>
        </w:tc>
        <w:tc>
          <w:tcPr>
            <w:tcW w:w="1098" w:type="pct"/>
            <w:tcBorders>
              <w:bottom w:val="double" w:sz="4" w:space="0" w:color="auto"/>
            </w:tcBorders>
            <w:vAlign w:val="center"/>
          </w:tcPr>
          <w:p w14:paraId="472D63FE" w14:textId="2E5EF3EA"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9.6</w:t>
            </w:r>
          </w:p>
        </w:tc>
        <w:tc>
          <w:tcPr>
            <w:tcW w:w="1033" w:type="pct"/>
            <w:tcBorders>
              <w:bottom w:val="double" w:sz="4" w:space="0" w:color="auto"/>
            </w:tcBorders>
            <w:vAlign w:val="center"/>
          </w:tcPr>
          <w:p w14:paraId="3361E276" w14:textId="626B5B5F"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13.3</w:t>
            </w:r>
          </w:p>
        </w:tc>
        <w:tc>
          <w:tcPr>
            <w:tcW w:w="980" w:type="pct"/>
            <w:tcBorders>
              <w:bottom w:val="double" w:sz="4" w:space="0" w:color="auto"/>
            </w:tcBorders>
            <w:vAlign w:val="center"/>
          </w:tcPr>
          <w:p w14:paraId="4D39A4E1" w14:textId="68F3653E"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11.8</w:t>
            </w:r>
          </w:p>
        </w:tc>
      </w:tr>
      <w:tr w:rsidR="00496CDD" w:rsidRPr="00E520D1" w14:paraId="65A98FA2" w14:textId="77777777" w:rsidTr="00496CDD">
        <w:trPr>
          <w:trHeight w:val="501"/>
        </w:trPr>
        <w:tc>
          <w:tcPr>
            <w:tcW w:w="1110" w:type="pct"/>
            <w:vMerge w:val="restart"/>
            <w:vAlign w:val="center"/>
          </w:tcPr>
          <w:p w14:paraId="7139ECD0"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Zonal trough</w:t>
            </w:r>
          </w:p>
          <w:p w14:paraId="563EE704"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w:t>
            </w:r>
            <w:r w:rsidRPr="00E520D1">
              <w:rPr>
                <w:rFonts w:ascii="Times New Roman" w:hAnsi="Times New Roman" w:cs="Times New Roman"/>
                <w:i/>
                <w:color w:val="000000" w:themeColor="text1"/>
                <w:sz w:val="22"/>
                <w:szCs w:val="22"/>
              </w:rPr>
              <w:t>N</w:t>
            </w:r>
            <w:r w:rsidRPr="00E520D1">
              <w:rPr>
                <w:rFonts w:ascii="Times New Roman" w:hAnsi="Times New Roman" w:cs="Times New Roman"/>
                <w:color w:val="000000" w:themeColor="text1"/>
                <w:sz w:val="22"/>
                <w:szCs w:val="22"/>
              </w:rPr>
              <w:t xml:space="preserve"> = 18) </w:t>
            </w:r>
          </w:p>
        </w:tc>
        <w:tc>
          <w:tcPr>
            <w:tcW w:w="778" w:type="pct"/>
            <w:shd w:val="clear" w:color="auto" w:fill="auto"/>
            <w:vAlign w:val="center"/>
          </w:tcPr>
          <w:p w14:paraId="46315D3E" w14:textId="77777777" w:rsidR="00280927" w:rsidRPr="00E520D1" w:rsidRDefault="00280927"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Mean</w:t>
            </w:r>
          </w:p>
        </w:tc>
        <w:tc>
          <w:tcPr>
            <w:tcW w:w="1098" w:type="pct"/>
            <w:shd w:val="clear" w:color="auto" w:fill="auto"/>
            <w:vAlign w:val="center"/>
          </w:tcPr>
          <w:p w14:paraId="6ED2F6BA" w14:textId="30D28F51"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17.4</w:t>
            </w:r>
          </w:p>
        </w:tc>
        <w:tc>
          <w:tcPr>
            <w:tcW w:w="1033" w:type="pct"/>
            <w:shd w:val="clear" w:color="auto" w:fill="auto"/>
            <w:vAlign w:val="center"/>
          </w:tcPr>
          <w:p w14:paraId="2E502A4B" w14:textId="23226C6E"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17.6</w:t>
            </w:r>
          </w:p>
        </w:tc>
        <w:tc>
          <w:tcPr>
            <w:tcW w:w="980" w:type="pct"/>
            <w:shd w:val="clear" w:color="auto" w:fill="auto"/>
            <w:vAlign w:val="center"/>
          </w:tcPr>
          <w:p w14:paraId="5473484D" w14:textId="5DB97641"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19.0</w:t>
            </w:r>
          </w:p>
        </w:tc>
      </w:tr>
      <w:tr w:rsidR="00496CDD" w:rsidRPr="00E520D1" w14:paraId="4332B72D" w14:textId="77777777" w:rsidTr="00496CDD">
        <w:trPr>
          <w:trHeight w:val="519"/>
        </w:trPr>
        <w:tc>
          <w:tcPr>
            <w:tcW w:w="1110" w:type="pct"/>
            <w:vMerge/>
            <w:vAlign w:val="center"/>
          </w:tcPr>
          <w:p w14:paraId="34F815A4" w14:textId="77777777" w:rsidR="00280927" w:rsidRPr="00E520D1" w:rsidRDefault="00280927" w:rsidP="008B676C">
            <w:pPr>
              <w:contextualSpacing/>
              <w:jc w:val="center"/>
              <w:rPr>
                <w:rFonts w:ascii="Times New Roman" w:hAnsi="Times New Roman" w:cs="Times New Roman"/>
                <w:color w:val="000000" w:themeColor="text1"/>
                <w:sz w:val="22"/>
                <w:szCs w:val="22"/>
              </w:rPr>
            </w:pPr>
          </w:p>
        </w:tc>
        <w:tc>
          <w:tcPr>
            <w:tcW w:w="778" w:type="pct"/>
            <w:tcBorders>
              <w:bottom w:val="double" w:sz="4" w:space="0" w:color="auto"/>
            </w:tcBorders>
            <w:vAlign w:val="center"/>
          </w:tcPr>
          <w:p w14:paraId="2C62FB9D" w14:textId="77777777" w:rsidR="00280927" w:rsidRPr="00E520D1" w:rsidRDefault="00280927" w:rsidP="008B676C">
            <w:pPr>
              <w:contextualSpacing/>
              <w:jc w:val="center"/>
              <w:rPr>
                <w:rFonts w:ascii="Times New Roman" w:hAnsi="Times New Roman" w:cs="Times New Roman"/>
                <w:color w:val="000000" w:themeColor="text1"/>
                <w:sz w:val="22"/>
                <w:szCs w:val="22"/>
              </w:rPr>
            </w:pPr>
            <w:proofErr w:type="spellStart"/>
            <w:r w:rsidRPr="00E520D1">
              <w:rPr>
                <w:rFonts w:ascii="Times New Roman" w:hAnsi="Times New Roman" w:cs="Times New Roman"/>
                <w:color w:val="000000" w:themeColor="text1"/>
                <w:sz w:val="22"/>
                <w:szCs w:val="22"/>
              </w:rPr>
              <w:t>Std</w:t>
            </w:r>
            <w:proofErr w:type="spellEnd"/>
            <w:r w:rsidRPr="00E520D1">
              <w:rPr>
                <w:rFonts w:ascii="Times New Roman" w:hAnsi="Times New Roman" w:cs="Times New Roman"/>
                <w:color w:val="000000" w:themeColor="text1"/>
                <w:sz w:val="22"/>
                <w:szCs w:val="22"/>
              </w:rPr>
              <w:t xml:space="preserve"> </w:t>
            </w:r>
            <w:proofErr w:type="spellStart"/>
            <w:r w:rsidRPr="00E520D1">
              <w:rPr>
                <w:rFonts w:ascii="Times New Roman" w:hAnsi="Times New Roman" w:cs="Times New Roman"/>
                <w:color w:val="000000" w:themeColor="text1"/>
                <w:sz w:val="22"/>
                <w:szCs w:val="22"/>
              </w:rPr>
              <w:t>dev</w:t>
            </w:r>
            <w:proofErr w:type="spellEnd"/>
          </w:p>
        </w:tc>
        <w:tc>
          <w:tcPr>
            <w:tcW w:w="1098" w:type="pct"/>
            <w:tcBorders>
              <w:bottom w:val="double" w:sz="4" w:space="0" w:color="auto"/>
            </w:tcBorders>
            <w:vAlign w:val="center"/>
          </w:tcPr>
          <w:p w14:paraId="6C5B7100" w14:textId="66A291DA"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7.5</w:t>
            </w:r>
          </w:p>
        </w:tc>
        <w:tc>
          <w:tcPr>
            <w:tcW w:w="1033" w:type="pct"/>
            <w:tcBorders>
              <w:bottom w:val="double" w:sz="4" w:space="0" w:color="auto"/>
            </w:tcBorders>
            <w:vAlign w:val="center"/>
          </w:tcPr>
          <w:p w14:paraId="0B0B0B55" w14:textId="07034991"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9.1</w:t>
            </w:r>
          </w:p>
        </w:tc>
        <w:tc>
          <w:tcPr>
            <w:tcW w:w="980" w:type="pct"/>
            <w:tcBorders>
              <w:bottom w:val="double" w:sz="4" w:space="0" w:color="auto"/>
            </w:tcBorders>
            <w:vAlign w:val="center"/>
          </w:tcPr>
          <w:p w14:paraId="41BE78F2" w14:textId="75B5CF9E" w:rsidR="00280927" w:rsidRPr="00E520D1" w:rsidRDefault="008B676C" w:rsidP="008B676C">
            <w:pPr>
              <w:contextualSpacing/>
              <w:jc w:val="center"/>
              <w:rPr>
                <w:rFonts w:ascii="Times New Roman" w:hAnsi="Times New Roman" w:cs="Times New Roman"/>
                <w:color w:val="000000" w:themeColor="text1"/>
                <w:sz w:val="22"/>
                <w:szCs w:val="22"/>
              </w:rPr>
            </w:pPr>
            <w:r w:rsidRPr="00E520D1">
              <w:rPr>
                <w:rFonts w:ascii="Times New Roman" w:hAnsi="Times New Roman" w:cs="Times New Roman"/>
                <w:color w:val="000000" w:themeColor="text1"/>
                <w:sz w:val="22"/>
                <w:szCs w:val="22"/>
              </w:rPr>
              <w:t>7.3</w:t>
            </w:r>
          </w:p>
        </w:tc>
      </w:tr>
    </w:tbl>
    <w:p w14:paraId="796D6CF8" w14:textId="632DC2AE" w:rsidR="00F84AD3" w:rsidRPr="00E520D1" w:rsidRDefault="002B79AC" w:rsidP="002B79AC">
      <w:pPr>
        <w:rPr>
          <w:rFonts w:ascii="Times New Roman" w:eastAsia="Times New Roman" w:hAnsi="Times New Roman" w:cs="Times New Roman"/>
          <w:sz w:val="22"/>
          <w:szCs w:val="22"/>
        </w:rPr>
      </w:pPr>
      <w:r w:rsidRPr="00E520D1">
        <w:rPr>
          <w:rFonts w:ascii="Times New Roman" w:eastAsia="Times New Roman" w:hAnsi="Times New Roman" w:cs="Times New Roman"/>
          <w:sz w:val="22"/>
          <w:szCs w:val="22"/>
        </w:rPr>
        <w:br/>
        <w:t xml:space="preserve">4) Figures 7, 9, 11, </w:t>
      </w:r>
      <w:proofErr w:type="gramStart"/>
      <w:r w:rsidRPr="00E520D1">
        <w:rPr>
          <w:rFonts w:ascii="Times New Roman" w:eastAsia="Times New Roman" w:hAnsi="Times New Roman" w:cs="Times New Roman"/>
          <w:sz w:val="22"/>
          <w:szCs w:val="22"/>
        </w:rPr>
        <w:t>12</w:t>
      </w:r>
      <w:proofErr w:type="gramEnd"/>
      <w:r w:rsidRPr="00E520D1">
        <w:rPr>
          <w:rFonts w:ascii="Times New Roman" w:eastAsia="Times New Roman" w:hAnsi="Times New Roman" w:cs="Times New Roman"/>
          <w:sz w:val="22"/>
          <w:szCs w:val="22"/>
        </w:rPr>
        <w:t>: These figures are a bit difficult to read because of the small size of the 12 panels. If the authors wish to make them slightly smaller, I think either t0 - 120 h (a and b) or t0 - 96 h (panels c and d in all figures) could be removed since they are quite similar. By t0 - 72 h, we start to see the distinctive patterns taking shape. I understand the authors analyzed the 5 d prior to formation, but I think one of the rows could be removed without losing critical information for the analysis. I'm not going to insist on it, but if the panels get much smaller, they'll be really difficult to interpret in the print journal (I've zoomed in considerabl</w:t>
      </w:r>
      <w:r w:rsidR="00634C84" w:rsidRPr="00E520D1">
        <w:rPr>
          <w:rFonts w:ascii="Times New Roman" w:eastAsia="Times New Roman" w:hAnsi="Times New Roman" w:cs="Times New Roman"/>
          <w:sz w:val="22"/>
          <w:szCs w:val="22"/>
        </w:rPr>
        <w:t xml:space="preserve">y on my screen to view them).  </w:t>
      </w:r>
      <w:r w:rsidRPr="00E520D1">
        <w:rPr>
          <w:rFonts w:ascii="Times New Roman" w:eastAsia="Times New Roman" w:hAnsi="Times New Roman" w:cs="Times New Roman"/>
          <w:sz w:val="22"/>
          <w:szCs w:val="22"/>
        </w:rPr>
        <w:t>Also, perhaps the authors could annotate the color bars to indicate (L) and (R)? The lack of yellow for the right column makes distinguishing them fairly easy upon examining the two columns, but an annotation would make it completely clear.</w:t>
      </w:r>
    </w:p>
    <w:p w14:paraId="6D9270CA" w14:textId="77777777" w:rsidR="00634C84" w:rsidRPr="00E520D1" w:rsidRDefault="00634C84" w:rsidP="002B79AC">
      <w:pPr>
        <w:rPr>
          <w:rFonts w:ascii="Times New Roman" w:eastAsia="Times New Roman" w:hAnsi="Times New Roman" w:cs="Times New Roman"/>
          <w:sz w:val="22"/>
          <w:szCs w:val="22"/>
        </w:rPr>
      </w:pPr>
    </w:p>
    <w:p w14:paraId="25FDDE96" w14:textId="0EB90C24" w:rsidR="00634C84" w:rsidRPr="00E520D1" w:rsidRDefault="00634C84" w:rsidP="002B79AC">
      <w:pPr>
        <w:rPr>
          <w:rFonts w:ascii="Times New Roman" w:eastAsia="Times New Roman" w:hAnsi="Times New Roman" w:cs="Times New Roman"/>
          <w:color w:val="FF0000"/>
          <w:sz w:val="22"/>
          <w:szCs w:val="22"/>
        </w:rPr>
      </w:pPr>
      <w:r w:rsidRPr="00E520D1">
        <w:rPr>
          <w:rFonts w:ascii="Times New Roman" w:eastAsia="Times New Roman" w:hAnsi="Times New Roman" w:cs="Times New Roman"/>
          <w:color w:val="FF0000"/>
          <w:sz w:val="22"/>
          <w:szCs w:val="22"/>
        </w:rPr>
        <w:t xml:space="preserve">The authors have attempted to increase the size and readability of the 12-panel composite images as much as possible while still including images every 24 h between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 120 h</w:t>
      </w:r>
      <w:r w:rsidRPr="00E520D1">
        <w:rPr>
          <w:rFonts w:ascii="Times New Roman" w:eastAsia="Times New Roman" w:hAnsi="Times New Roman" w:cs="Times New Roman"/>
          <w:color w:val="FF0000"/>
          <w:sz w:val="22"/>
          <w:szCs w:val="22"/>
        </w:rPr>
        <w:t xml:space="preserve"> and </w:t>
      </w:r>
      <w:r w:rsidRPr="00E520D1">
        <w:rPr>
          <w:rFonts w:ascii="Times New Roman" w:hAnsi="Times New Roman" w:cs="Times New Roman"/>
          <w:i/>
          <w:color w:val="FF0000"/>
          <w:sz w:val="22"/>
          <w:szCs w:val="22"/>
        </w:rPr>
        <w:t>t</w:t>
      </w:r>
      <w:r w:rsidRPr="00E520D1">
        <w:rPr>
          <w:rFonts w:ascii="Times New Roman" w:hAnsi="Times New Roman" w:cs="Times New Roman"/>
          <w:color w:val="FF0000"/>
          <w:sz w:val="22"/>
          <w:szCs w:val="22"/>
          <w:vertAlign w:val="subscript"/>
        </w:rPr>
        <w:t>0</w:t>
      </w:r>
      <w:r w:rsidRPr="00E520D1">
        <w:rPr>
          <w:rFonts w:ascii="Times New Roman" w:hAnsi="Times New Roman" w:cs="Times New Roman"/>
          <w:color w:val="FF0000"/>
          <w:sz w:val="22"/>
          <w:szCs w:val="22"/>
        </w:rPr>
        <w:t xml:space="preserve"> </w:t>
      </w:r>
      <w:r w:rsidRPr="00E520D1">
        <w:rPr>
          <w:rFonts w:ascii="Times New Roman" w:eastAsia="Times New Roman" w:hAnsi="Times New Roman" w:cs="Times New Roman"/>
          <w:color w:val="FF0000"/>
          <w:sz w:val="22"/>
          <w:szCs w:val="22"/>
        </w:rPr>
        <w:t xml:space="preserve">(Figs. 9,11,14). In addition, the color bars have been annotated to indicate (Left) and (Right) at the reviewer’s request.  </w:t>
      </w:r>
    </w:p>
    <w:sectPr w:rsidR="00634C84" w:rsidRPr="00E520D1" w:rsidSect="00752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1A"/>
    <w:rsid w:val="00104C94"/>
    <w:rsid w:val="00142DF6"/>
    <w:rsid w:val="001A5259"/>
    <w:rsid w:val="00280927"/>
    <w:rsid w:val="002B79AC"/>
    <w:rsid w:val="002D00AA"/>
    <w:rsid w:val="0030151B"/>
    <w:rsid w:val="003240E9"/>
    <w:rsid w:val="00345B38"/>
    <w:rsid w:val="004639A5"/>
    <w:rsid w:val="00496CDD"/>
    <w:rsid w:val="004F0B4B"/>
    <w:rsid w:val="005A3212"/>
    <w:rsid w:val="00605591"/>
    <w:rsid w:val="00634C84"/>
    <w:rsid w:val="00655BBE"/>
    <w:rsid w:val="006F0BFE"/>
    <w:rsid w:val="0075271A"/>
    <w:rsid w:val="007D7D2F"/>
    <w:rsid w:val="008B676C"/>
    <w:rsid w:val="009C2D4A"/>
    <w:rsid w:val="009E65B8"/>
    <w:rsid w:val="00B2315D"/>
    <w:rsid w:val="00B60A58"/>
    <w:rsid w:val="00BA0582"/>
    <w:rsid w:val="00C6286A"/>
    <w:rsid w:val="00C82815"/>
    <w:rsid w:val="00E30BDA"/>
    <w:rsid w:val="00E520D1"/>
    <w:rsid w:val="00F7741E"/>
    <w:rsid w:val="00F84AD3"/>
    <w:rsid w:val="00FB5C44"/>
    <w:rsid w:val="00FC0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250F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BDA"/>
    <w:pPr>
      <w:spacing w:before="100" w:beforeAutospacing="1" w:after="100" w:afterAutospacing="1"/>
    </w:pPr>
    <w:rPr>
      <w:rFonts w:ascii="Times" w:hAnsi="Times" w:cs="Times New Roman"/>
      <w:sz w:val="20"/>
      <w:szCs w:val="20"/>
    </w:rPr>
  </w:style>
  <w:style w:type="character" w:customStyle="1" w:styleId="rphighlightallclass">
    <w:name w:val="rphighlightallclass"/>
    <w:basedOn w:val="DefaultParagraphFont"/>
    <w:rsid w:val="00E30B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BDA"/>
    <w:pPr>
      <w:spacing w:before="100" w:beforeAutospacing="1" w:after="100" w:afterAutospacing="1"/>
    </w:pPr>
    <w:rPr>
      <w:rFonts w:ascii="Times" w:hAnsi="Times" w:cs="Times New Roman"/>
      <w:sz w:val="20"/>
      <w:szCs w:val="20"/>
    </w:rPr>
  </w:style>
  <w:style w:type="character" w:customStyle="1" w:styleId="rphighlightallclass">
    <w:name w:val="rphighlightallclass"/>
    <w:basedOn w:val="DefaultParagraphFont"/>
    <w:rsid w:val="00E3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1681</Words>
  <Characters>9586</Characters>
  <Application>Microsoft Macintosh Word</Application>
  <DocSecurity>0</DocSecurity>
  <Lines>79</Lines>
  <Paragraphs>22</Paragraphs>
  <ScaleCrop>false</ScaleCrop>
  <Company>University at Albany</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Alicia Bentley</cp:lastModifiedBy>
  <cp:revision>18</cp:revision>
  <dcterms:created xsi:type="dcterms:W3CDTF">2016-09-30T16:48:00Z</dcterms:created>
  <dcterms:modified xsi:type="dcterms:W3CDTF">2016-10-01T17:25:00Z</dcterms:modified>
</cp:coreProperties>
</file>