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613E1E">
      <w:pPr>
        <w:spacing w:after="0" w:line="240" w:lineRule="auto"/>
        <w:jc w:val="center"/>
        <w:rPr>
          <w:rFonts w:ascii="Times New Roman" w:eastAsia="Times New Roman" w:hAnsi="Times New Roman" w:cs="Times New Roman"/>
          <w:b/>
          <w:color w:val="272525"/>
          <w:sz w:val="24"/>
          <w:szCs w:val="24"/>
        </w:rPr>
      </w:pPr>
      <w:r>
        <w:rPr>
          <w:rFonts w:ascii="Times New Roman" w:eastAsia="Times New Roman" w:hAnsi="Times New Roman" w:cs="Times New Roman"/>
          <w:b/>
          <w:color w:val="272525"/>
          <w:sz w:val="24"/>
          <w:szCs w:val="24"/>
        </w:rPr>
        <w:br/>
      </w: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C7109D">
      <w:pPr>
        <w:spacing w:after="0" w:line="240" w:lineRule="auto"/>
        <w:jc w:val="center"/>
        <w:rPr>
          <w:rFonts w:ascii="Times New Roman" w:eastAsia="Times New Roman" w:hAnsi="Times New Roman" w:cs="Times New Roman"/>
          <w:b/>
          <w:color w:val="272525"/>
          <w:sz w:val="24"/>
          <w:szCs w:val="24"/>
        </w:rPr>
      </w:pPr>
    </w:p>
    <w:p w:rsidR="00C7109D" w:rsidRDefault="00613E1E">
      <w:pPr>
        <w:spacing w:after="0" w:line="240" w:lineRule="auto"/>
        <w:jc w:val="center"/>
        <w:rPr>
          <w:rFonts w:ascii="Times New Roman" w:eastAsia="Times New Roman" w:hAnsi="Times New Roman" w:cs="Times New Roman"/>
          <w:b/>
          <w:color w:val="272525"/>
          <w:sz w:val="24"/>
          <w:szCs w:val="24"/>
        </w:rPr>
      </w:pPr>
      <w:r>
        <w:rPr>
          <w:rFonts w:ascii="Times New Roman" w:eastAsia="Times New Roman" w:hAnsi="Times New Roman" w:cs="Times New Roman"/>
          <w:b/>
          <w:color w:val="272525"/>
          <w:sz w:val="24"/>
          <w:szCs w:val="24"/>
        </w:rPr>
        <w:t xml:space="preserve">Precipitation events associated with terrain-generated convergence in the </w:t>
      </w:r>
      <w:r>
        <w:rPr>
          <w:rFonts w:ascii="Times New Roman" w:eastAsia="Times New Roman" w:hAnsi="Times New Roman" w:cs="Times New Roman"/>
          <w:b/>
          <w:sz w:val="24"/>
          <w:szCs w:val="24"/>
        </w:rPr>
        <w:t>Mohawk and Hudson River valleys of New York</w:t>
      </w: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613E1E">
      <w:pPr>
        <w:spacing w:after="0" w:line="240" w:lineRule="auto"/>
        <w:jc w:val="center"/>
        <w:rPr>
          <w:rFonts w:ascii="Times New Roman" w:eastAsia="Times New Roman" w:hAnsi="Times New Roman" w:cs="Times New Roman"/>
          <w:color w:val="272525"/>
          <w:sz w:val="24"/>
          <w:szCs w:val="24"/>
        </w:rPr>
      </w:pPr>
      <w:r>
        <w:rPr>
          <w:rFonts w:ascii="Times New Roman" w:eastAsia="Times New Roman" w:hAnsi="Times New Roman" w:cs="Times New Roman"/>
          <w:color w:val="272525"/>
          <w:sz w:val="24"/>
          <w:szCs w:val="24"/>
        </w:rPr>
        <w:t xml:space="preserve">Dylan Card, Kristen L. </w:t>
      </w:r>
      <w:proofErr w:type="spellStart"/>
      <w:r>
        <w:rPr>
          <w:rFonts w:ascii="Times New Roman" w:eastAsia="Times New Roman" w:hAnsi="Times New Roman" w:cs="Times New Roman"/>
          <w:color w:val="272525"/>
          <w:sz w:val="24"/>
          <w:szCs w:val="24"/>
        </w:rPr>
        <w:t>Corbosiero</w:t>
      </w:r>
      <w:proofErr w:type="spellEnd"/>
      <w:r>
        <w:rPr>
          <w:rFonts w:ascii="Times New Roman" w:eastAsia="Times New Roman" w:hAnsi="Times New Roman" w:cs="Times New Roman"/>
          <w:color w:val="272525"/>
          <w:sz w:val="24"/>
          <w:szCs w:val="24"/>
        </w:rPr>
        <w:t xml:space="preserve">, Ross A. </w:t>
      </w:r>
      <w:proofErr w:type="spellStart"/>
      <w:r>
        <w:rPr>
          <w:rFonts w:ascii="Times New Roman" w:eastAsia="Times New Roman" w:hAnsi="Times New Roman" w:cs="Times New Roman"/>
          <w:color w:val="272525"/>
          <w:sz w:val="24"/>
          <w:szCs w:val="24"/>
        </w:rPr>
        <w:t>Lazear</w:t>
      </w:r>
      <w:proofErr w:type="spellEnd"/>
      <w:r>
        <w:rPr>
          <w:rFonts w:ascii="Times New Roman" w:eastAsia="Times New Roman" w:hAnsi="Times New Roman" w:cs="Times New Roman"/>
          <w:color w:val="272525"/>
          <w:sz w:val="24"/>
          <w:szCs w:val="24"/>
        </w:rPr>
        <w:t xml:space="preserve"> </w:t>
      </w:r>
    </w:p>
    <w:p w:rsidR="00C7109D" w:rsidRDefault="00613E1E">
      <w:pPr>
        <w:spacing w:after="0" w:line="240" w:lineRule="auto"/>
        <w:jc w:val="center"/>
        <w:rPr>
          <w:rFonts w:ascii="Times New Roman" w:eastAsia="Times New Roman" w:hAnsi="Times New Roman" w:cs="Times New Roman"/>
          <w:i/>
          <w:color w:val="272525"/>
          <w:sz w:val="24"/>
          <w:szCs w:val="24"/>
        </w:rPr>
      </w:pPr>
      <w:r>
        <w:rPr>
          <w:rFonts w:ascii="Times New Roman" w:eastAsia="Times New Roman" w:hAnsi="Times New Roman" w:cs="Times New Roman"/>
          <w:i/>
          <w:color w:val="272525"/>
          <w:sz w:val="24"/>
          <w:szCs w:val="24"/>
        </w:rPr>
        <w:t>Department of Atmospheric and Environmental Sciences</w:t>
      </w:r>
      <w:r>
        <w:rPr>
          <w:rFonts w:ascii="Times New Roman" w:eastAsia="Times New Roman" w:hAnsi="Times New Roman" w:cs="Times New Roman"/>
          <w:i/>
          <w:color w:val="272525"/>
          <w:sz w:val="24"/>
          <w:szCs w:val="24"/>
        </w:rPr>
        <w:br/>
      </w:r>
      <w:r>
        <w:rPr>
          <w:rFonts w:ascii="Times New Roman" w:eastAsia="Times New Roman" w:hAnsi="Times New Roman" w:cs="Times New Roman"/>
          <w:i/>
          <w:color w:val="272525"/>
          <w:sz w:val="24"/>
          <w:szCs w:val="24"/>
        </w:rPr>
        <w:t>University at Albany, State University of New York</w:t>
      </w:r>
      <w:r>
        <w:rPr>
          <w:rFonts w:ascii="Times New Roman" w:eastAsia="Times New Roman" w:hAnsi="Times New Roman" w:cs="Times New Roman"/>
          <w:i/>
          <w:color w:val="272525"/>
          <w:sz w:val="24"/>
          <w:szCs w:val="24"/>
        </w:rPr>
        <w:br/>
        <w:t>Albany, New York</w:t>
      </w: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613E1E">
      <w:pPr>
        <w:spacing w:after="0" w:line="240" w:lineRule="auto"/>
        <w:jc w:val="center"/>
        <w:rPr>
          <w:rFonts w:ascii="Times New Roman" w:eastAsia="Times New Roman" w:hAnsi="Times New Roman" w:cs="Times New Roman"/>
          <w:color w:val="272525"/>
          <w:sz w:val="24"/>
          <w:szCs w:val="24"/>
        </w:rPr>
      </w:pPr>
      <w:r>
        <w:rPr>
          <w:rFonts w:ascii="Times New Roman" w:eastAsia="Times New Roman" w:hAnsi="Times New Roman" w:cs="Times New Roman"/>
          <w:color w:val="272525"/>
          <w:sz w:val="24"/>
          <w:szCs w:val="24"/>
        </w:rPr>
        <w:t>Hugh Johnson</w:t>
      </w:r>
    </w:p>
    <w:p w:rsidR="00C7109D" w:rsidRDefault="00613E1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Retired National Weather Service Forecaster</w:t>
      </w:r>
      <w:r>
        <w:rPr>
          <w:rFonts w:ascii="Times New Roman" w:eastAsia="Times New Roman" w:hAnsi="Times New Roman" w:cs="Times New Roman"/>
          <w:i/>
          <w:sz w:val="24"/>
          <w:szCs w:val="24"/>
        </w:rPr>
        <w:br/>
        <w:t>Albany, New York</w:t>
      </w:r>
    </w:p>
    <w:p w:rsidR="00C7109D" w:rsidRDefault="00C7109D">
      <w:pPr>
        <w:spacing w:after="0" w:line="240" w:lineRule="auto"/>
        <w:jc w:val="center"/>
        <w:rPr>
          <w:rFonts w:ascii="Times New Roman" w:eastAsia="Times New Roman" w:hAnsi="Times New Roman" w:cs="Times New Roman"/>
          <w:i/>
          <w:sz w:val="24"/>
          <w:szCs w:val="24"/>
        </w:rPr>
      </w:pPr>
    </w:p>
    <w:p w:rsidR="00C7109D" w:rsidRDefault="00C7109D">
      <w:pPr>
        <w:spacing w:after="0" w:line="240" w:lineRule="auto"/>
        <w:jc w:val="center"/>
        <w:rPr>
          <w:rFonts w:ascii="Times New Roman" w:eastAsia="Times New Roman" w:hAnsi="Times New Roman" w:cs="Times New Roman"/>
          <w:i/>
          <w:sz w:val="24"/>
          <w:szCs w:val="24"/>
        </w:rPr>
      </w:pPr>
    </w:p>
    <w:p w:rsidR="00C7109D" w:rsidRDefault="00613E1E">
      <w:pPr>
        <w:spacing w:after="0" w:line="240" w:lineRule="auto"/>
        <w:jc w:val="center"/>
        <w:rPr>
          <w:rFonts w:ascii="Times New Roman" w:eastAsia="Times New Roman" w:hAnsi="Times New Roman" w:cs="Times New Roman"/>
          <w:color w:val="272525"/>
          <w:sz w:val="24"/>
          <w:szCs w:val="24"/>
        </w:rPr>
      </w:pPr>
      <w:r>
        <w:rPr>
          <w:rFonts w:ascii="Times New Roman" w:eastAsia="Times New Roman" w:hAnsi="Times New Roman" w:cs="Times New Roman"/>
          <w:color w:val="272525"/>
          <w:sz w:val="24"/>
          <w:szCs w:val="24"/>
        </w:rPr>
        <w:t xml:space="preserve">Michael </w:t>
      </w:r>
      <w:proofErr w:type="spellStart"/>
      <w:r>
        <w:rPr>
          <w:rFonts w:ascii="Times New Roman" w:eastAsia="Times New Roman" w:hAnsi="Times New Roman" w:cs="Times New Roman"/>
          <w:color w:val="272525"/>
          <w:sz w:val="24"/>
          <w:szCs w:val="24"/>
        </w:rPr>
        <w:t>Augustyniak</w:t>
      </w:r>
      <w:proofErr w:type="spellEnd"/>
      <w:r>
        <w:rPr>
          <w:rFonts w:ascii="Times New Roman" w:eastAsia="Times New Roman" w:hAnsi="Times New Roman" w:cs="Times New Roman"/>
          <w:color w:val="272525"/>
          <w:sz w:val="24"/>
          <w:szCs w:val="24"/>
        </w:rPr>
        <w:t> </w:t>
      </w:r>
    </w:p>
    <w:p w:rsidR="00C7109D" w:rsidRDefault="00613E1E">
      <w:pPr>
        <w:spacing w:after="0" w:line="240" w:lineRule="auto"/>
        <w:jc w:val="center"/>
        <w:rPr>
          <w:rFonts w:ascii="Times New Roman" w:eastAsia="Times New Roman" w:hAnsi="Times New Roman" w:cs="Times New Roman"/>
          <w:color w:val="272525"/>
          <w:sz w:val="24"/>
          <w:szCs w:val="24"/>
        </w:rPr>
      </w:pPr>
      <w:r>
        <w:rPr>
          <w:rFonts w:ascii="Times New Roman" w:eastAsia="Times New Roman" w:hAnsi="Times New Roman" w:cs="Times New Roman"/>
          <w:i/>
          <w:color w:val="272525"/>
          <w:sz w:val="24"/>
          <w:szCs w:val="24"/>
        </w:rPr>
        <w:t>WCCO</w:t>
      </w:r>
      <w:r>
        <w:rPr>
          <w:rFonts w:ascii="Times New Roman" w:eastAsia="Times New Roman" w:hAnsi="Times New Roman" w:cs="Times New Roman"/>
          <w:i/>
          <w:color w:val="272525"/>
          <w:sz w:val="24"/>
          <w:szCs w:val="24"/>
        </w:rPr>
        <w:br/>
        <w:t>Minneapolis, MN</w:t>
      </w: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240" w:lineRule="auto"/>
        <w:jc w:val="center"/>
        <w:rPr>
          <w:rFonts w:ascii="Times New Roman" w:eastAsia="Times New Roman" w:hAnsi="Times New Roman" w:cs="Times New Roman"/>
          <w:color w:val="272525"/>
          <w:sz w:val="24"/>
          <w:szCs w:val="24"/>
        </w:rPr>
      </w:pPr>
    </w:p>
    <w:p w:rsidR="00C7109D" w:rsidRDefault="00C7109D">
      <w:pPr>
        <w:spacing w:after="0" w:line="480" w:lineRule="auto"/>
        <w:jc w:val="center"/>
        <w:rPr>
          <w:rFonts w:ascii="Times New Roman" w:eastAsia="Times New Roman" w:hAnsi="Times New Roman" w:cs="Times New Roman"/>
          <w:color w:val="272525"/>
          <w:sz w:val="24"/>
          <w:szCs w:val="24"/>
        </w:rPr>
      </w:pPr>
    </w:p>
    <w:p w:rsidR="00C7109D" w:rsidRDefault="00C7109D">
      <w:pPr>
        <w:spacing w:after="0" w:line="480" w:lineRule="auto"/>
        <w:jc w:val="center"/>
        <w:rPr>
          <w:rFonts w:ascii="Times New Roman" w:eastAsia="Times New Roman" w:hAnsi="Times New Roman" w:cs="Times New Roman"/>
          <w:color w:val="272525"/>
          <w:sz w:val="24"/>
          <w:szCs w:val="24"/>
        </w:rPr>
      </w:pPr>
    </w:p>
    <w:p w:rsidR="00C7109D" w:rsidRDefault="00C7109D">
      <w:pPr>
        <w:spacing w:after="0" w:line="480" w:lineRule="auto"/>
        <w:jc w:val="center"/>
        <w:rPr>
          <w:rFonts w:ascii="Times New Roman" w:eastAsia="Times New Roman" w:hAnsi="Times New Roman" w:cs="Times New Roman"/>
          <w:color w:val="272525"/>
          <w:sz w:val="24"/>
          <w:szCs w:val="24"/>
        </w:rPr>
      </w:pPr>
    </w:p>
    <w:p w:rsidR="00C7109D" w:rsidRDefault="00C7109D">
      <w:pPr>
        <w:spacing w:after="0" w:line="480" w:lineRule="auto"/>
        <w:rPr>
          <w:rFonts w:ascii="Times New Roman" w:eastAsia="Times New Roman" w:hAnsi="Times New Roman" w:cs="Times New Roman"/>
          <w:color w:val="272525"/>
          <w:sz w:val="24"/>
          <w:szCs w:val="24"/>
        </w:rPr>
      </w:pPr>
    </w:p>
    <w:p w:rsidR="00C7109D" w:rsidRDefault="00613E1E">
      <w:pPr>
        <w:spacing w:after="0" w:line="480" w:lineRule="auto"/>
        <w:jc w:val="center"/>
        <w:rPr>
          <w:rFonts w:ascii="Times New Roman" w:eastAsia="Times New Roman" w:hAnsi="Times New Roman" w:cs="Times New Roman"/>
          <w:b/>
          <w:color w:val="272525"/>
          <w:sz w:val="24"/>
          <w:szCs w:val="24"/>
        </w:rPr>
      </w:pPr>
      <w:r>
        <w:rPr>
          <w:rFonts w:ascii="Times New Roman" w:eastAsia="Times New Roman" w:hAnsi="Times New Roman" w:cs="Times New Roman"/>
          <w:b/>
          <w:color w:val="272525"/>
          <w:sz w:val="24"/>
          <w:szCs w:val="24"/>
        </w:rPr>
        <w:lastRenderedPageBreak/>
        <w:t>ABSTRACT</w:t>
      </w:r>
    </w:p>
    <w:p w:rsidR="00C7109D" w:rsidRDefault="00613E1E">
      <w:pPr>
        <w:spacing w:line="480" w:lineRule="auto"/>
        <w:ind w:firstLine="720"/>
        <w:jc w:val="both"/>
        <w:rPr>
          <w:rFonts w:ascii="Times New Roman" w:eastAsia="Times New Roman" w:hAnsi="Times New Roman" w:cs="Times New Roman"/>
          <w:color w:val="272525"/>
          <w:sz w:val="23"/>
          <w:szCs w:val="23"/>
        </w:rPr>
      </w:pPr>
      <w:r>
        <w:rPr>
          <w:rFonts w:ascii="Times New Roman" w:eastAsia="Times New Roman" w:hAnsi="Times New Roman" w:cs="Times New Roman"/>
          <w:color w:val="272525"/>
          <w:sz w:val="23"/>
          <w:szCs w:val="23"/>
        </w:rPr>
        <w:t>The unique terrain of eastern New York State plays a pivotal role in both the warm and cold season weather of the region. The valleys of the west to east Mohawk River, and north to south Hudson River intersect in the Capital Region of New York, and can res</w:t>
      </w:r>
      <w:r>
        <w:rPr>
          <w:rFonts w:ascii="Times New Roman" w:eastAsia="Times New Roman" w:hAnsi="Times New Roman" w:cs="Times New Roman"/>
          <w:color w:val="272525"/>
          <w:sz w:val="23"/>
          <w:szCs w:val="23"/>
        </w:rPr>
        <w:t>ult in localized flow channeling and boundary layer convergence. Several previous case studies have documented the important role of Mohawk–Hudson convergence (MHC) in modulating the low-level wind profile in cases of warm-season severe weather. However, a</w:t>
      </w:r>
      <w:r>
        <w:rPr>
          <w:rFonts w:ascii="Times New Roman" w:eastAsia="Times New Roman" w:hAnsi="Times New Roman" w:cs="Times New Roman"/>
          <w:color w:val="272525"/>
          <w:sz w:val="23"/>
          <w:szCs w:val="23"/>
        </w:rPr>
        <w:t xml:space="preserve"> comprehensive composite and case study analysis of these events, which pose a significant challenge to forecasters, has not been previously published. </w:t>
      </w:r>
    </w:p>
    <w:p w:rsidR="00C7109D" w:rsidRDefault="00613E1E">
      <w:pPr>
        <w:spacing w:line="480" w:lineRule="auto"/>
        <w:jc w:val="both"/>
        <w:rPr>
          <w:rFonts w:ascii="Times New Roman" w:eastAsia="Times New Roman" w:hAnsi="Times New Roman" w:cs="Times New Roman"/>
          <w:color w:val="272525"/>
          <w:sz w:val="23"/>
          <w:szCs w:val="23"/>
        </w:rPr>
      </w:pPr>
      <w:r>
        <w:rPr>
          <w:rFonts w:ascii="Times New Roman" w:eastAsia="Times New Roman" w:hAnsi="Times New Roman" w:cs="Times New Roman"/>
          <w:color w:val="272525"/>
          <w:sz w:val="23"/>
          <w:szCs w:val="23"/>
        </w:rPr>
        <w:tab/>
      </w:r>
      <w:r>
        <w:rPr>
          <w:rFonts w:ascii="Times New Roman" w:eastAsia="Times New Roman" w:hAnsi="Times New Roman" w:cs="Times New Roman"/>
          <w:color w:val="272525"/>
          <w:sz w:val="23"/>
          <w:szCs w:val="23"/>
        </w:rPr>
        <w:t xml:space="preserve">A composite analysis shows that warm-MHC precipitation events are characterized by low-level southwesterly geostrophic flow, with a surface low-pressure area located over eastern Quebec. The southwesterly flow is channeled in the valleys, which results in </w:t>
      </w:r>
      <w:r>
        <w:rPr>
          <w:rFonts w:ascii="Times New Roman" w:eastAsia="Times New Roman" w:hAnsi="Times New Roman" w:cs="Times New Roman"/>
          <w:color w:val="272525"/>
          <w:sz w:val="23"/>
          <w:szCs w:val="23"/>
        </w:rPr>
        <w:t>the northward advection of warm, moist air in the Hudson River Valley and westerly flow in the Mohawk River Valley, leading to boundary layer convergence. Cold-MHC events are characterized by weak cold-air advection from low-level, northwesterly geostrophi</w:t>
      </w:r>
      <w:r>
        <w:rPr>
          <w:rFonts w:ascii="Times New Roman" w:eastAsia="Times New Roman" w:hAnsi="Times New Roman" w:cs="Times New Roman"/>
          <w:color w:val="272525"/>
          <w:sz w:val="23"/>
          <w:szCs w:val="23"/>
        </w:rPr>
        <w:t xml:space="preserve">c flow behind the cold front of a low-pressure system located </w:t>
      </w:r>
      <w:proofErr w:type="gramStart"/>
      <w:r>
        <w:rPr>
          <w:rFonts w:ascii="Times New Roman" w:eastAsia="Times New Roman" w:hAnsi="Times New Roman" w:cs="Times New Roman"/>
          <w:color w:val="272525"/>
          <w:sz w:val="23"/>
          <w:szCs w:val="23"/>
        </w:rPr>
        <w:t>off of</w:t>
      </w:r>
      <w:proofErr w:type="gramEnd"/>
      <w:r>
        <w:rPr>
          <w:rFonts w:ascii="Times New Roman" w:eastAsia="Times New Roman" w:hAnsi="Times New Roman" w:cs="Times New Roman"/>
          <w:color w:val="272525"/>
          <w:sz w:val="23"/>
          <w:szCs w:val="23"/>
        </w:rPr>
        <w:t xml:space="preserve"> the coast of New England. Surface winds are channeled westerly in the Mohawk Valley and northerly in the Hudson Valley. If low-level moisture persists after the passage of the cold front,</w:t>
      </w:r>
      <w:r>
        <w:rPr>
          <w:rFonts w:ascii="Times New Roman" w:eastAsia="Times New Roman" w:hAnsi="Times New Roman" w:cs="Times New Roman"/>
          <w:color w:val="272525"/>
          <w:sz w:val="23"/>
          <w:szCs w:val="23"/>
        </w:rPr>
        <w:t xml:space="preserve"> the channeled low-level flow can lead to precipitation near the junction of the river valleys. </w:t>
      </w:r>
    </w:p>
    <w:p w:rsidR="00C7109D" w:rsidRDefault="00613E1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272525"/>
          <w:sz w:val="23"/>
          <w:szCs w:val="23"/>
        </w:rPr>
        <w:t xml:space="preserve">While most MHC events do not produce significant sensible weather, they can occasionally produce hazardous conditions if they occur with little warning and/or </w:t>
      </w:r>
      <w:r>
        <w:rPr>
          <w:rFonts w:ascii="Times New Roman" w:eastAsia="Times New Roman" w:hAnsi="Times New Roman" w:cs="Times New Roman"/>
          <w:color w:val="272525"/>
          <w:sz w:val="23"/>
          <w:szCs w:val="23"/>
        </w:rPr>
        <w:t xml:space="preserve">during peak travel times. Cold-MHC precipitation can result in persistent moderate to heavy snow in the wake of a departing cyclone, whereas warm-MHC cases often initiate </w:t>
      </w:r>
      <w:proofErr w:type="gramStart"/>
      <w:r>
        <w:rPr>
          <w:rFonts w:ascii="Times New Roman" w:eastAsia="Times New Roman" w:hAnsi="Times New Roman" w:cs="Times New Roman"/>
          <w:color w:val="272525"/>
          <w:sz w:val="23"/>
          <w:szCs w:val="23"/>
        </w:rPr>
        <w:t>an unexpected</w:t>
      </w:r>
      <w:r w:rsidR="00C323EA">
        <w:rPr>
          <w:rFonts w:ascii="Times New Roman" w:eastAsia="Times New Roman" w:hAnsi="Times New Roman" w:cs="Times New Roman"/>
          <w:color w:val="272525"/>
          <w:sz w:val="23"/>
          <w:szCs w:val="23"/>
        </w:rPr>
        <w:t xml:space="preserve"> and severe</w:t>
      </w:r>
      <w:r>
        <w:rPr>
          <w:rFonts w:ascii="Times New Roman" w:eastAsia="Times New Roman" w:hAnsi="Times New Roman" w:cs="Times New Roman"/>
          <w:color w:val="272525"/>
          <w:sz w:val="23"/>
          <w:szCs w:val="23"/>
        </w:rPr>
        <w:t xml:space="preserve"> thunderstorm</w:t>
      </w:r>
      <w:r w:rsidR="00C323EA">
        <w:rPr>
          <w:rFonts w:ascii="Times New Roman" w:eastAsia="Times New Roman" w:hAnsi="Times New Roman" w:cs="Times New Roman"/>
          <w:color w:val="272525"/>
          <w:sz w:val="23"/>
          <w:szCs w:val="23"/>
        </w:rPr>
        <w:t>s</w:t>
      </w:r>
      <w:proofErr w:type="gramEnd"/>
      <w:r>
        <w:rPr>
          <w:rFonts w:ascii="Times New Roman" w:eastAsia="Times New Roman" w:hAnsi="Times New Roman" w:cs="Times New Roman"/>
          <w:color w:val="272525"/>
          <w:sz w:val="23"/>
          <w:szCs w:val="23"/>
        </w:rPr>
        <w:t xml:space="preserve"> in the vicinity of Albany International Airport.</w:t>
      </w:r>
      <w:r>
        <w:rPr>
          <w:rFonts w:ascii="Times New Roman" w:eastAsia="Times New Roman" w:hAnsi="Times New Roman" w:cs="Times New Roman"/>
          <w:color w:val="272525"/>
          <w:sz w:val="24"/>
          <w:szCs w:val="24"/>
        </w:rPr>
        <w:t xml:space="preserve"> </w:t>
      </w:r>
    </w:p>
    <w:p w:rsidR="00C7109D" w:rsidRDefault="00C7109D">
      <w:pPr>
        <w:spacing w:line="480" w:lineRule="auto"/>
        <w:jc w:val="both"/>
        <w:rPr>
          <w:rFonts w:ascii="Times New Roman" w:eastAsia="Times New Roman" w:hAnsi="Times New Roman" w:cs="Times New Roman"/>
          <w:b/>
          <w:sz w:val="24"/>
          <w:szCs w:val="24"/>
        </w:rPr>
      </w:pPr>
    </w:p>
    <w:p w:rsidR="00C7109D" w:rsidRDefault="00613E1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w:t>
      </w:r>
      <w:r>
        <w:rPr>
          <w:rFonts w:ascii="Times New Roman" w:eastAsia="Times New Roman" w:hAnsi="Times New Roman" w:cs="Times New Roman"/>
          <w:b/>
          <w:sz w:val="24"/>
          <w:szCs w:val="24"/>
        </w:rPr>
        <w:t>oduction</w:t>
      </w:r>
    </w:p>
    <w:p w:rsidR="00C7109D" w:rsidRDefault="00613E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Channeled flow occurs when topographic features, such as breaks in mountain barriers or valleys through complex terrain, act to change the local wind direction and/or speed. Frequently, this phenomenon is associated with surface wind observations</w:t>
      </w:r>
      <w:r>
        <w:rPr>
          <w:rFonts w:ascii="Times New Roman" w:eastAsia="Times New Roman" w:hAnsi="Times New Roman" w:cs="Times New Roman"/>
          <w:sz w:val="24"/>
          <w:szCs w:val="24"/>
        </w:rPr>
        <w:t xml:space="preserve"> that differ systematically from surrounding observations and/or the geostrophic wind direction, and occur only under certain synoptic conditions. As will be shown, the flow in the Capital Region of New York state, where the Mohawk and Hudson River valleys</w:t>
      </w:r>
      <w:r>
        <w:rPr>
          <w:rFonts w:ascii="Times New Roman" w:eastAsia="Times New Roman" w:hAnsi="Times New Roman" w:cs="Times New Roman"/>
          <w:sz w:val="24"/>
          <w:szCs w:val="24"/>
        </w:rPr>
        <w:t xml:space="preserve"> intersect (Figure 1), meets the characteristics for channeled flow in that the complex terrain of the surrounding Adirondack, Catskill, Berkshire, and Green Mountains acts to change the local winds and influence local weather.</w:t>
      </w:r>
    </w:p>
    <w:p w:rsidR="00C7109D" w:rsidRDefault="00613E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four main mechani</w:t>
      </w:r>
      <w:r>
        <w:rPr>
          <w:rFonts w:ascii="Times New Roman" w:eastAsia="Times New Roman" w:hAnsi="Times New Roman" w:cs="Times New Roman"/>
          <w:sz w:val="24"/>
          <w:szCs w:val="24"/>
        </w:rPr>
        <w:t>sms described in Whiteman and Doran (1993) that have been identified as creating channeled flow. The first mechanism, thermal forcing, results from the diurnal cycle of heating in complex terrain, which causes up-valley winds during the day and down-valley</w:t>
      </w:r>
      <w:r>
        <w:rPr>
          <w:rFonts w:ascii="Times New Roman" w:eastAsia="Times New Roman" w:hAnsi="Times New Roman" w:cs="Times New Roman"/>
          <w:sz w:val="24"/>
          <w:szCs w:val="24"/>
        </w:rPr>
        <w:t xml:space="preserve"> winds during the night (e.g., Whiteman 1990; </w:t>
      </w:r>
      <w:proofErr w:type="spellStart"/>
      <w:r>
        <w:rPr>
          <w:rFonts w:ascii="Times New Roman" w:eastAsia="Times New Roman" w:hAnsi="Times New Roman" w:cs="Times New Roman"/>
          <w:sz w:val="24"/>
          <w:szCs w:val="24"/>
        </w:rPr>
        <w:t>Rampanelli</w:t>
      </w:r>
      <w:proofErr w:type="spellEnd"/>
      <w:r>
        <w:rPr>
          <w:rFonts w:ascii="Times New Roman" w:eastAsia="Times New Roman" w:hAnsi="Times New Roman" w:cs="Times New Roman"/>
          <w:sz w:val="24"/>
          <w:szCs w:val="24"/>
        </w:rPr>
        <w:t xml:space="preserve"> et al. 2004; </w:t>
      </w:r>
      <w:proofErr w:type="spellStart"/>
      <w:r>
        <w:rPr>
          <w:rFonts w:ascii="Times New Roman" w:eastAsia="Times New Roman" w:hAnsi="Times New Roman" w:cs="Times New Roman"/>
          <w:sz w:val="24"/>
          <w:szCs w:val="24"/>
        </w:rPr>
        <w:t>Schmidli</w:t>
      </w:r>
      <w:proofErr w:type="spellEnd"/>
      <w:r>
        <w:rPr>
          <w:rFonts w:ascii="Times New Roman" w:eastAsia="Times New Roman" w:hAnsi="Times New Roman" w:cs="Times New Roman"/>
          <w:sz w:val="24"/>
          <w:szCs w:val="24"/>
        </w:rPr>
        <w:t xml:space="preserve"> et al. 2009; </w:t>
      </w:r>
      <w:proofErr w:type="spellStart"/>
      <w:r>
        <w:rPr>
          <w:rFonts w:ascii="Times New Roman" w:eastAsia="Times New Roman" w:hAnsi="Times New Roman" w:cs="Times New Roman"/>
          <w:sz w:val="24"/>
          <w:szCs w:val="24"/>
        </w:rPr>
        <w:t>Steafin</w:t>
      </w:r>
      <w:proofErr w:type="spellEnd"/>
      <w:r>
        <w:rPr>
          <w:rFonts w:ascii="Times New Roman" w:eastAsia="Times New Roman" w:hAnsi="Times New Roman" w:cs="Times New Roman"/>
          <w:sz w:val="24"/>
          <w:szCs w:val="24"/>
        </w:rPr>
        <w:t xml:space="preserve"> et al. 2017). The second mechanism is downward momentum transport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vertical turbulent mixing by gravity waves and/or friction (e.g., Jiang and</w:t>
      </w:r>
      <w:r>
        <w:rPr>
          <w:rFonts w:ascii="Times New Roman" w:eastAsia="Times New Roman" w:hAnsi="Times New Roman" w:cs="Times New Roman"/>
          <w:sz w:val="24"/>
          <w:szCs w:val="24"/>
        </w:rPr>
        <w:t xml:space="preserve"> Doyle 2008; Carrera et al. 2009; Serafin et al. 2017), generating in-valley winds that are of a similar direction as the ambient flow. The third mechanism is forced channeling, in which the wind is channeled by the valley walls creating a flow up or down </w:t>
      </w:r>
      <w:r>
        <w:rPr>
          <w:rFonts w:ascii="Times New Roman" w:eastAsia="Times New Roman" w:hAnsi="Times New Roman" w:cs="Times New Roman"/>
          <w:sz w:val="24"/>
          <w:szCs w:val="24"/>
        </w:rPr>
        <w:t xml:space="preserve">the valley axis depending on the direction of the geostrophic wind. Sudden shifts in direction occur when the geostrophic winds change direction across the axis normal to the valley (Weber et al. 1998; </w:t>
      </w:r>
      <w:proofErr w:type="spellStart"/>
      <w:r>
        <w:rPr>
          <w:rFonts w:ascii="Times New Roman" w:eastAsia="Times New Roman" w:hAnsi="Times New Roman" w:cs="Times New Roman"/>
          <w:sz w:val="24"/>
          <w:szCs w:val="24"/>
        </w:rPr>
        <w:t>Razy</w:t>
      </w:r>
      <w:proofErr w:type="spellEnd"/>
      <w:r>
        <w:rPr>
          <w:rFonts w:ascii="Times New Roman" w:eastAsia="Times New Roman" w:hAnsi="Times New Roman" w:cs="Times New Roman"/>
          <w:sz w:val="24"/>
          <w:szCs w:val="24"/>
        </w:rPr>
        <w:t xml:space="preserve"> et al. 2011). Lastly, the fourth </w:t>
      </w:r>
      <w:r>
        <w:rPr>
          <w:rFonts w:ascii="Times New Roman" w:eastAsia="Times New Roman" w:hAnsi="Times New Roman" w:cs="Times New Roman"/>
          <w:sz w:val="24"/>
          <w:szCs w:val="24"/>
        </w:rPr>
        <w:lastRenderedPageBreak/>
        <w:t>mechanism for ch</w:t>
      </w:r>
      <w:r>
        <w:rPr>
          <w:rFonts w:ascii="Times New Roman" w:eastAsia="Times New Roman" w:hAnsi="Times New Roman" w:cs="Times New Roman"/>
          <w:sz w:val="24"/>
          <w:szCs w:val="24"/>
        </w:rPr>
        <w:t xml:space="preserve">anneled flow, pressure-driven channeling, is driven by the along-valley component of the large-scale geostrophic pressure gradient (Gross and </w:t>
      </w:r>
      <w:proofErr w:type="spellStart"/>
      <w:r>
        <w:rPr>
          <w:rFonts w:ascii="Times New Roman" w:eastAsia="Times New Roman" w:hAnsi="Times New Roman" w:cs="Times New Roman"/>
          <w:sz w:val="24"/>
          <w:szCs w:val="24"/>
        </w:rPr>
        <w:t>Wippermann</w:t>
      </w:r>
      <w:proofErr w:type="spellEnd"/>
      <w:r>
        <w:rPr>
          <w:rFonts w:ascii="Times New Roman" w:eastAsia="Times New Roman" w:hAnsi="Times New Roman" w:cs="Times New Roman"/>
          <w:sz w:val="24"/>
          <w:szCs w:val="24"/>
        </w:rPr>
        <w:t xml:space="preserve"> 1987; </w:t>
      </w:r>
      <w:proofErr w:type="spellStart"/>
      <w:r>
        <w:rPr>
          <w:rFonts w:ascii="Times New Roman" w:eastAsia="Times New Roman" w:hAnsi="Times New Roman" w:cs="Times New Roman"/>
          <w:sz w:val="24"/>
          <w:szCs w:val="24"/>
        </w:rPr>
        <w:t>Kossmann</w:t>
      </w:r>
      <w:proofErr w:type="spellEnd"/>
      <w:r>
        <w:rPr>
          <w:rFonts w:ascii="Times New Roman" w:eastAsia="Times New Roman" w:hAnsi="Times New Roman" w:cs="Times New Roman"/>
          <w:sz w:val="24"/>
          <w:szCs w:val="24"/>
        </w:rPr>
        <w:t xml:space="preserve"> and Sturman 2003; Carrera et al. 2009). </w:t>
      </w:r>
    </w:p>
    <w:p w:rsidR="00C7109D" w:rsidRDefault="00613E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There have been many studies documenting the </w:t>
      </w:r>
      <w:r>
        <w:rPr>
          <w:rFonts w:ascii="Times New Roman" w:eastAsia="Times New Roman" w:hAnsi="Times New Roman" w:cs="Times New Roman"/>
          <w:sz w:val="24"/>
          <w:szCs w:val="24"/>
        </w:rPr>
        <w:t>role of complex terrain in the generation of mesoscale weather phenomena around the world. Due to the topography surrounding the Puget Sound in post-cold front environments, mesoscale convergence events are responsible for spatial variations in the climato</w:t>
      </w:r>
      <w:r>
        <w:rPr>
          <w:rFonts w:ascii="Times New Roman" w:eastAsia="Times New Roman" w:hAnsi="Times New Roman" w:cs="Times New Roman"/>
          <w:sz w:val="24"/>
          <w:szCs w:val="24"/>
        </w:rPr>
        <w:t>logy of precipitation around Seattle (Mass 1981; Ferber et al. 1993). The complex topography of the Owens Valley in California can lead to thermally and dynamically induced mesoscale wind fields and high wind events in the valley (Cohn et al. 2004;</w:t>
      </w:r>
      <w:r>
        <w:t xml:space="preserve"> </w:t>
      </w:r>
      <w:proofErr w:type="spellStart"/>
      <w:r>
        <w:rPr>
          <w:rFonts w:ascii="Times New Roman" w:eastAsia="Times New Roman" w:hAnsi="Times New Roman" w:cs="Times New Roman"/>
          <w:sz w:val="24"/>
          <w:szCs w:val="24"/>
        </w:rPr>
        <w:t>Grubiši</w:t>
      </w:r>
      <w:r>
        <w:rPr>
          <w:rFonts w:ascii="Times New Roman" w:eastAsia="Times New Roman" w:hAnsi="Times New Roman" w:cs="Times New Roman"/>
          <w:sz w:val="24"/>
          <w:szCs w:val="24"/>
        </w:rPr>
        <w:t>ć</w:t>
      </w:r>
      <w:proofErr w:type="spellEnd"/>
      <w:r>
        <w:rPr>
          <w:rFonts w:ascii="Times New Roman" w:eastAsia="Times New Roman" w:hAnsi="Times New Roman" w:cs="Times New Roman"/>
          <w:sz w:val="24"/>
          <w:szCs w:val="24"/>
        </w:rPr>
        <w:t xml:space="preserve"> et al. 2008; Zhong et al. 2008; Strauss et al. 2016; Serafin et al. 2017). Complex terrain can also influence climatological surface winds due to channeling, such as in northwest Utah where it was hypothesized that the binomial distribution in the surfac</w:t>
      </w:r>
      <w:r>
        <w:rPr>
          <w:rFonts w:ascii="Times New Roman" w:eastAsia="Times New Roman" w:hAnsi="Times New Roman" w:cs="Times New Roman"/>
          <w:sz w:val="24"/>
          <w:szCs w:val="24"/>
        </w:rPr>
        <w:t>e wind climatology was mainly due to thermal forcing. Upon further analysis, it was found that the temperature difference between the Great Salt Lake and the surrounding topography led to a low-level pressure gradient inducing the pressure-driven channelin</w:t>
      </w:r>
      <w:r>
        <w:rPr>
          <w:rFonts w:ascii="Times New Roman" w:eastAsia="Times New Roman" w:hAnsi="Times New Roman" w:cs="Times New Roman"/>
          <w:sz w:val="24"/>
          <w:szCs w:val="24"/>
        </w:rPr>
        <w:t xml:space="preserve">g (Rife et al. 2002; </w:t>
      </w:r>
      <w:proofErr w:type="spellStart"/>
      <w:r>
        <w:rPr>
          <w:rFonts w:ascii="Times New Roman" w:eastAsia="Times New Roman" w:hAnsi="Times New Roman" w:cs="Times New Roman"/>
          <w:sz w:val="24"/>
          <w:szCs w:val="24"/>
        </w:rPr>
        <w:t>Jeglum</w:t>
      </w:r>
      <w:proofErr w:type="spellEnd"/>
      <w:r>
        <w:rPr>
          <w:rFonts w:ascii="Times New Roman" w:eastAsia="Times New Roman" w:hAnsi="Times New Roman" w:cs="Times New Roman"/>
          <w:sz w:val="24"/>
          <w:szCs w:val="24"/>
        </w:rPr>
        <w:t xml:space="preserve"> and Hoch 2016). The Saint Lawrence River Valley experiences channeled flow that contributes to locally higher precipitation amounts in Montreal due to pressure-driven channeling (Carrera et al. 2009; </w:t>
      </w:r>
      <w:proofErr w:type="spellStart"/>
      <w:r>
        <w:rPr>
          <w:rFonts w:ascii="Times New Roman" w:eastAsia="Times New Roman" w:hAnsi="Times New Roman" w:cs="Times New Roman"/>
          <w:sz w:val="24"/>
          <w:szCs w:val="24"/>
        </w:rPr>
        <w:t>Razy</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Cholette</w:t>
      </w:r>
      <w:proofErr w:type="spellEnd"/>
      <w:r>
        <w:rPr>
          <w:rFonts w:ascii="Times New Roman" w:eastAsia="Times New Roman" w:hAnsi="Times New Roman" w:cs="Times New Roman"/>
          <w:sz w:val="24"/>
          <w:szCs w:val="24"/>
        </w:rPr>
        <w:t xml:space="preserve"> et al. 2</w:t>
      </w:r>
      <w:r>
        <w:rPr>
          <w:rFonts w:ascii="Times New Roman" w:eastAsia="Times New Roman" w:hAnsi="Times New Roman" w:cs="Times New Roman"/>
          <w:sz w:val="24"/>
          <w:szCs w:val="24"/>
        </w:rPr>
        <w:t>015). This channeling sometimes occurs in association with tropical cyclones undergoing extratropical transition, which, like the case in Utah, establishes a synoptic-scale pressure gradient along the southwest to northeast axis of the valley (</w:t>
      </w:r>
      <w:proofErr w:type="spellStart"/>
      <w:r>
        <w:rPr>
          <w:rFonts w:ascii="Times New Roman" w:eastAsia="Times New Roman" w:hAnsi="Times New Roman" w:cs="Times New Roman"/>
          <w:sz w:val="24"/>
          <w:szCs w:val="24"/>
        </w:rPr>
        <w:t>Milrad</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2012). Finally, channeled flow via the </w:t>
      </w:r>
      <w:proofErr w:type="gramStart"/>
      <w:r>
        <w:rPr>
          <w:rFonts w:ascii="Times New Roman" w:eastAsia="Times New Roman" w:hAnsi="Times New Roman" w:cs="Times New Roman"/>
          <w:sz w:val="24"/>
          <w:szCs w:val="24"/>
        </w:rPr>
        <w:t>aforementioned mechanisms</w:t>
      </w:r>
      <w:proofErr w:type="gramEnd"/>
      <w:r>
        <w:rPr>
          <w:rFonts w:ascii="Times New Roman" w:eastAsia="Times New Roman" w:hAnsi="Times New Roman" w:cs="Times New Roman"/>
          <w:sz w:val="24"/>
          <w:szCs w:val="24"/>
        </w:rPr>
        <w:t xml:space="preserve"> has been shown to occur even in </w:t>
      </w:r>
      <w:r>
        <w:rPr>
          <w:rFonts w:ascii="Times New Roman" w:eastAsia="Times New Roman" w:hAnsi="Times New Roman" w:cs="Times New Roman"/>
          <w:sz w:val="24"/>
          <w:szCs w:val="24"/>
        </w:rPr>
        <w:lastRenderedPageBreak/>
        <w:t xml:space="preserve">very shallow river valleys such as Germany’s Rhine Valley, where valley walls only extend to 500 m in height (Gross and </w:t>
      </w:r>
      <w:proofErr w:type="spellStart"/>
      <w:r>
        <w:rPr>
          <w:rFonts w:ascii="Times New Roman" w:eastAsia="Times New Roman" w:hAnsi="Times New Roman" w:cs="Times New Roman"/>
          <w:sz w:val="24"/>
          <w:szCs w:val="24"/>
        </w:rPr>
        <w:t>Wippermann</w:t>
      </w:r>
      <w:proofErr w:type="spellEnd"/>
      <w:r>
        <w:rPr>
          <w:rFonts w:ascii="Times New Roman" w:eastAsia="Times New Roman" w:hAnsi="Times New Roman" w:cs="Times New Roman"/>
          <w:sz w:val="24"/>
          <w:szCs w:val="24"/>
        </w:rPr>
        <w:t xml:space="preserve"> 1987). </w:t>
      </w:r>
    </w:p>
    <w:p w:rsidR="00C7109D" w:rsidRDefault="00613E1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Hudson Valley </w:t>
      </w:r>
      <w:r>
        <w:rPr>
          <w:rFonts w:ascii="Times New Roman" w:eastAsia="Times New Roman" w:hAnsi="Times New Roman" w:cs="Times New Roman"/>
          <w:sz w:val="24"/>
          <w:szCs w:val="24"/>
        </w:rPr>
        <w:t xml:space="preserve">is a broad and shallow river valley oriented north to south, stretching from near Glens Falls, NY to New York City. The Mohawk Valley is oriented from west to east stretching from Rome, NY to Albany, NY. As shown in Fig. 1, these two valleys intersect </w:t>
      </w:r>
      <w:proofErr w:type="gramStart"/>
      <w:r>
        <w:rPr>
          <w:rFonts w:ascii="Times New Roman" w:eastAsia="Times New Roman" w:hAnsi="Times New Roman" w:cs="Times New Roman"/>
          <w:sz w:val="24"/>
          <w:szCs w:val="24"/>
        </w:rPr>
        <w:t>in t</w:t>
      </w:r>
      <w:r>
        <w:rPr>
          <w:rFonts w:ascii="Times New Roman" w:eastAsia="Times New Roman" w:hAnsi="Times New Roman" w:cs="Times New Roman"/>
          <w:sz w:val="24"/>
          <w:szCs w:val="24"/>
        </w:rPr>
        <w:t>he vicinity of</w:t>
      </w:r>
      <w:proofErr w:type="gramEnd"/>
      <w:r>
        <w:rPr>
          <w:rFonts w:ascii="Times New Roman" w:eastAsia="Times New Roman" w:hAnsi="Times New Roman" w:cs="Times New Roman"/>
          <w:sz w:val="24"/>
          <w:szCs w:val="24"/>
        </w:rPr>
        <w:t xml:space="preserve"> Albany, NY, where the valleys are approximately 500 m deep </w:t>
      </w:r>
      <w:r w:rsidR="00D61B62">
        <w:rPr>
          <w:rFonts w:ascii="Times New Roman" w:eastAsia="Times New Roman" w:hAnsi="Times New Roman" w:cs="Times New Roman"/>
          <w:sz w:val="24"/>
          <w:szCs w:val="24"/>
        </w:rPr>
        <w:t xml:space="preserve">at the shallowest point </w:t>
      </w:r>
      <w:r>
        <w:rPr>
          <w:rFonts w:ascii="Times New Roman" w:eastAsia="Times New Roman" w:hAnsi="Times New Roman" w:cs="Times New Roman"/>
          <w:sz w:val="24"/>
          <w:szCs w:val="24"/>
        </w:rPr>
        <w:t>and 60 km across</w:t>
      </w:r>
      <w:r w:rsidR="00D61B62">
        <w:rPr>
          <w:rFonts w:ascii="Times New Roman" w:eastAsia="Times New Roman" w:hAnsi="Times New Roman" w:cs="Times New Roman"/>
          <w:sz w:val="24"/>
          <w:szCs w:val="24"/>
        </w:rPr>
        <w:t xml:space="preserve"> at the widest point</w:t>
      </w:r>
      <w:r>
        <w:rPr>
          <w:rFonts w:ascii="Times New Roman" w:eastAsia="Times New Roman" w:hAnsi="Times New Roman" w:cs="Times New Roman"/>
          <w:sz w:val="24"/>
          <w:szCs w:val="24"/>
        </w:rPr>
        <w:t xml:space="preserve">. The intersection of the valleys can alter the flow in such a way that leads to locally strong, boundary layer convergence known as Mohawk–Hudson convergence (MHC), </w:t>
      </w:r>
      <w:r>
        <w:rPr>
          <w:rFonts w:ascii="Times New Roman" w:eastAsia="Times New Roman" w:hAnsi="Times New Roman" w:cs="Times New Roman"/>
          <w:sz w:val="24"/>
          <w:szCs w:val="24"/>
        </w:rPr>
        <w:t>which can result in poorly predicted precipitation events and severe weather.</w:t>
      </w:r>
    </w:p>
    <w:p w:rsidR="00C7109D" w:rsidRDefault="00613E1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C7109D" w:rsidRDefault="00613E1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MHC events happen in two regimes, the fi</w:t>
      </w:r>
      <w:r w:rsidR="009A39D9">
        <w:rPr>
          <w:rFonts w:ascii="Times New Roman" w:eastAsia="Times New Roman" w:hAnsi="Times New Roman" w:cs="Times New Roman"/>
          <w:sz w:val="24"/>
          <w:szCs w:val="24"/>
        </w:rPr>
        <w:t>rst being during the warm occurrences</w:t>
      </w:r>
      <w:r>
        <w:rPr>
          <w:rFonts w:ascii="Times New Roman" w:eastAsia="Times New Roman" w:hAnsi="Times New Roman" w:cs="Times New Roman"/>
          <w:sz w:val="24"/>
          <w:szCs w:val="24"/>
        </w:rPr>
        <w:t xml:space="preserve"> with southerly geostrophic flow, and the second being cold occurrences, which occur with northerly </w:t>
      </w:r>
      <w:r>
        <w:rPr>
          <w:rFonts w:ascii="Times New Roman" w:eastAsia="Times New Roman" w:hAnsi="Times New Roman" w:cs="Times New Roman"/>
          <w:sz w:val="24"/>
          <w:szCs w:val="24"/>
        </w:rPr>
        <w:t xml:space="preserve">geostrophic flow. In both regimes, MHC events often happen with little warning, and can have significant societal impacts. For example, during warm-MHC events, or warm-season events enhanced by MHC, channeled flow has been shown to affect the formation of </w:t>
      </w:r>
      <w:r>
        <w:rPr>
          <w:rFonts w:ascii="Times New Roman" w:eastAsia="Times New Roman" w:hAnsi="Times New Roman" w:cs="Times New Roman"/>
          <w:sz w:val="24"/>
          <w:szCs w:val="24"/>
        </w:rPr>
        <w:t>supercell tornadoes in cases such as the category 3 Fujita/Enhanced Fujita scale (F3/EF3) tornadoes that occurred on 29 May 1995 in Great Barrington, MA (</w:t>
      </w:r>
      <w:proofErr w:type="spellStart"/>
      <w:r>
        <w:rPr>
          <w:rFonts w:ascii="Times New Roman" w:eastAsia="Times New Roman" w:hAnsi="Times New Roman" w:cs="Times New Roman"/>
          <w:sz w:val="24"/>
          <w:szCs w:val="24"/>
        </w:rPr>
        <w:t>Bosart</w:t>
      </w:r>
      <w:proofErr w:type="spellEnd"/>
      <w:r>
        <w:rPr>
          <w:rFonts w:ascii="Times New Roman" w:eastAsia="Times New Roman" w:hAnsi="Times New Roman" w:cs="Times New Roman"/>
          <w:sz w:val="24"/>
          <w:szCs w:val="24"/>
        </w:rPr>
        <w:t xml:space="preserve"> et al. 2006), 31 May 1998 in Mechanicville, NY (</w:t>
      </w:r>
      <w:proofErr w:type="spellStart"/>
      <w:r>
        <w:rPr>
          <w:rFonts w:ascii="Times New Roman" w:eastAsia="Times New Roman" w:hAnsi="Times New Roman" w:cs="Times New Roman"/>
          <w:sz w:val="24"/>
          <w:szCs w:val="24"/>
        </w:rPr>
        <w:t>LaPenta</w:t>
      </w:r>
      <w:proofErr w:type="spellEnd"/>
      <w:r>
        <w:rPr>
          <w:rFonts w:ascii="Times New Roman" w:eastAsia="Times New Roman" w:hAnsi="Times New Roman" w:cs="Times New Roman"/>
          <w:sz w:val="24"/>
          <w:szCs w:val="24"/>
        </w:rPr>
        <w:t xml:space="preserve"> et al. 2005), and 22 May 2014 in </w:t>
      </w:r>
      <w:proofErr w:type="spellStart"/>
      <w:r>
        <w:rPr>
          <w:rFonts w:ascii="Times New Roman" w:eastAsia="Times New Roman" w:hAnsi="Times New Roman" w:cs="Times New Roman"/>
          <w:sz w:val="24"/>
          <w:szCs w:val="24"/>
        </w:rPr>
        <w:t>Duanes</w:t>
      </w:r>
      <w:r>
        <w:rPr>
          <w:rFonts w:ascii="Times New Roman" w:eastAsia="Times New Roman" w:hAnsi="Times New Roman" w:cs="Times New Roman"/>
          <w:sz w:val="24"/>
          <w:szCs w:val="24"/>
        </w:rPr>
        <w:t>burg</w:t>
      </w:r>
      <w:proofErr w:type="spellEnd"/>
      <w:r>
        <w:rPr>
          <w:rFonts w:ascii="Times New Roman" w:eastAsia="Times New Roman" w:hAnsi="Times New Roman" w:cs="Times New Roman"/>
          <w:sz w:val="24"/>
          <w:szCs w:val="24"/>
        </w:rPr>
        <w:t xml:space="preserve">, NY (Tang et al. 2016). In each of these cases, channeled, southerly flow up the Hudson River Valley increased surface instability (Riley and </w:t>
      </w:r>
      <w:proofErr w:type="spellStart"/>
      <w:r>
        <w:rPr>
          <w:rFonts w:ascii="Times New Roman" w:eastAsia="Times New Roman" w:hAnsi="Times New Roman" w:cs="Times New Roman"/>
          <w:sz w:val="24"/>
          <w:szCs w:val="24"/>
        </w:rPr>
        <w:t>Bosart</w:t>
      </w:r>
      <w:proofErr w:type="spellEnd"/>
      <w:r>
        <w:rPr>
          <w:rFonts w:ascii="Times New Roman" w:eastAsia="Times New Roman" w:hAnsi="Times New Roman" w:cs="Times New Roman"/>
          <w:sz w:val="24"/>
          <w:szCs w:val="24"/>
        </w:rPr>
        <w:t xml:space="preserve"> 1987; Bracken et al. 1998) and locally enhanced the vertical </w:t>
      </w:r>
      <w:r>
        <w:rPr>
          <w:rFonts w:ascii="Times New Roman" w:eastAsia="Times New Roman" w:hAnsi="Times New Roman" w:cs="Times New Roman"/>
          <w:sz w:val="24"/>
          <w:szCs w:val="24"/>
        </w:rPr>
        <w:lastRenderedPageBreak/>
        <w:t xml:space="preserve">wind shear (e.g., </w:t>
      </w:r>
      <w:proofErr w:type="spellStart"/>
      <w:r>
        <w:rPr>
          <w:rFonts w:ascii="Times New Roman" w:eastAsia="Times New Roman" w:hAnsi="Times New Roman" w:cs="Times New Roman"/>
          <w:sz w:val="24"/>
          <w:szCs w:val="24"/>
        </w:rPr>
        <w:t>Geerts</w:t>
      </w:r>
      <w:proofErr w:type="spellEnd"/>
      <w:r>
        <w:rPr>
          <w:rFonts w:ascii="Times New Roman" w:eastAsia="Times New Roman" w:hAnsi="Times New Roman" w:cs="Times New Roman"/>
          <w:sz w:val="24"/>
          <w:szCs w:val="24"/>
        </w:rPr>
        <w:t xml:space="preserve"> et al. 2009; </w:t>
      </w:r>
      <w:proofErr w:type="spellStart"/>
      <w:r>
        <w:rPr>
          <w:rFonts w:ascii="Times New Roman" w:eastAsia="Times New Roman" w:hAnsi="Times New Roman" w:cs="Times New Roman"/>
          <w:sz w:val="24"/>
          <w:szCs w:val="24"/>
        </w:rPr>
        <w:t>Pey</w:t>
      </w:r>
      <w:r>
        <w:rPr>
          <w:rFonts w:ascii="Times New Roman" w:eastAsia="Times New Roman" w:hAnsi="Times New Roman" w:cs="Times New Roman"/>
          <w:sz w:val="24"/>
          <w:szCs w:val="24"/>
        </w:rPr>
        <w:t>raud</w:t>
      </w:r>
      <w:proofErr w:type="spellEnd"/>
      <w:r>
        <w:rPr>
          <w:rFonts w:ascii="Times New Roman" w:eastAsia="Times New Roman" w:hAnsi="Times New Roman" w:cs="Times New Roman"/>
          <w:sz w:val="24"/>
          <w:szCs w:val="24"/>
        </w:rPr>
        <w:t xml:space="preserve"> 2013), turning discrete cells severe and strengthening supercells that propagated into the intersection of the valleys (</w:t>
      </w:r>
      <w:proofErr w:type="spellStart"/>
      <w:r>
        <w:rPr>
          <w:rFonts w:ascii="Times New Roman" w:eastAsia="Times New Roman" w:hAnsi="Times New Roman" w:cs="Times New Roman"/>
          <w:sz w:val="24"/>
          <w:szCs w:val="24"/>
        </w:rPr>
        <w:t>LaPenta</w:t>
      </w:r>
      <w:proofErr w:type="spellEnd"/>
      <w:r>
        <w:rPr>
          <w:rFonts w:ascii="Times New Roman" w:eastAsia="Times New Roman" w:hAnsi="Times New Roman" w:cs="Times New Roman"/>
          <w:sz w:val="24"/>
          <w:szCs w:val="24"/>
        </w:rPr>
        <w:t xml:space="preserve"> et al. 2005; </w:t>
      </w:r>
      <w:proofErr w:type="spellStart"/>
      <w:r>
        <w:rPr>
          <w:rFonts w:ascii="Times New Roman" w:eastAsia="Times New Roman" w:hAnsi="Times New Roman" w:cs="Times New Roman"/>
          <w:sz w:val="24"/>
          <w:szCs w:val="24"/>
        </w:rPr>
        <w:t>Bosart</w:t>
      </w:r>
      <w:proofErr w:type="spellEnd"/>
      <w:r>
        <w:rPr>
          <w:rFonts w:ascii="Times New Roman" w:eastAsia="Times New Roman" w:hAnsi="Times New Roman" w:cs="Times New Roman"/>
          <w:sz w:val="24"/>
          <w:szCs w:val="24"/>
        </w:rPr>
        <w:t xml:space="preserve"> et al. 2006; Tang et al. 2016).</w:t>
      </w:r>
    </w:p>
    <w:p w:rsidR="00C7109D" w:rsidRDefault="00613E1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case studies for cold-MHC events do not exist in the literature</w:t>
      </w:r>
      <w:r>
        <w:rPr>
          <w:rFonts w:ascii="Times New Roman" w:eastAsia="Times New Roman" w:hAnsi="Times New Roman" w:cs="Times New Roman"/>
          <w:sz w:val="24"/>
          <w:szCs w:val="24"/>
        </w:rPr>
        <w:t>, although their impacts, moderate additional snowfall accumulation on the tail of nor’easters and extended periods of instrument or low instrument flight rules at Albany International Airport (KALB), can be significant (</w:t>
      </w:r>
      <w:proofErr w:type="spellStart"/>
      <w:r>
        <w:rPr>
          <w:rFonts w:ascii="Times New Roman" w:eastAsia="Times New Roman" w:hAnsi="Times New Roman" w:cs="Times New Roman"/>
          <w:sz w:val="24"/>
          <w:szCs w:val="24"/>
        </w:rPr>
        <w:t>Augustyniak</w:t>
      </w:r>
      <w:proofErr w:type="spellEnd"/>
      <w:r>
        <w:rPr>
          <w:rFonts w:ascii="Times New Roman" w:eastAsia="Times New Roman" w:hAnsi="Times New Roman" w:cs="Times New Roman"/>
          <w:sz w:val="24"/>
          <w:szCs w:val="24"/>
        </w:rPr>
        <w:t xml:space="preserve"> 2008). Also missing fro</w:t>
      </w:r>
      <w:r>
        <w:rPr>
          <w:rFonts w:ascii="Times New Roman" w:eastAsia="Times New Roman" w:hAnsi="Times New Roman" w:cs="Times New Roman"/>
          <w:sz w:val="24"/>
          <w:szCs w:val="24"/>
        </w:rPr>
        <w:t>m the literature is a composite analysis of MHC events, which may aid forecasters in identifying the specific synoptic-scale conditions under which MHC events are likely to occur. This study will conduct such a 13-year composite analysis of both warm and c</w:t>
      </w:r>
      <w:r>
        <w:rPr>
          <w:rFonts w:ascii="Times New Roman" w:eastAsia="Times New Roman" w:hAnsi="Times New Roman" w:cs="Times New Roman"/>
          <w:sz w:val="24"/>
          <w:szCs w:val="24"/>
        </w:rPr>
        <w:t>old MHC events and present a case study of a cold-MHC event from 2 January 2008 and a</w:t>
      </w:r>
      <w:r w:rsidR="009A39D9">
        <w:rPr>
          <w:rFonts w:ascii="Times New Roman" w:eastAsia="Times New Roman" w:hAnsi="Times New Roman" w:cs="Times New Roman"/>
          <w:sz w:val="24"/>
          <w:szCs w:val="24"/>
        </w:rPr>
        <w:t xml:space="preserve"> case study of a</w:t>
      </w:r>
      <w:r>
        <w:rPr>
          <w:rFonts w:ascii="Times New Roman" w:eastAsia="Times New Roman" w:hAnsi="Times New Roman" w:cs="Times New Roman"/>
          <w:sz w:val="24"/>
          <w:szCs w:val="24"/>
        </w:rPr>
        <w:t xml:space="preserve"> warm-MHC event from 21 July 2010.</w:t>
      </w:r>
    </w:p>
    <w:p w:rsidR="00C7109D" w:rsidRDefault="00613E1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and methodology for this study are described in section 2. The results of the warm-MHC composite analysis and a case study are </w:t>
      </w:r>
      <w:r>
        <w:rPr>
          <w:rFonts w:ascii="Times New Roman" w:eastAsia="Times New Roman" w:hAnsi="Times New Roman" w:cs="Times New Roman"/>
          <w:sz w:val="24"/>
          <w:szCs w:val="24"/>
        </w:rPr>
        <w:t>presented in section 3, while the cold-MHC analysis and case study are presented in section 4. A forecaster checklist and conclusions are given in section 5.</w:t>
      </w:r>
    </w:p>
    <w:p w:rsidR="00C7109D" w:rsidRDefault="00C7109D">
      <w:pPr>
        <w:spacing w:line="480" w:lineRule="auto"/>
        <w:ind w:firstLine="720"/>
        <w:jc w:val="both"/>
        <w:rPr>
          <w:rFonts w:ascii="Times New Roman" w:eastAsia="Times New Roman" w:hAnsi="Times New Roman" w:cs="Times New Roman"/>
          <w:sz w:val="24"/>
          <w:szCs w:val="24"/>
        </w:rPr>
      </w:pPr>
    </w:p>
    <w:p w:rsidR="00C7109D" w:rsidRDefault="00613E1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Data and methodology</w:t>
      </w:r>
    </w:p>
    <w:p w:rsidR="00C7109D" w:rsidRDefault="00613E1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Case selection</w:t>
      </w:r>
    </w:p>
    <w:p w:rsidR="00C7109D" w:rsidRDefault="00613E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This study examines warm- (southerly) and cold- (northerly) MHC events from 2002–2014.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arm-MHC events were first identified by the following criteria: 1) reflectivity &gt;30 </w:t>
      </w:r>
      <w:proofErr w:type="spellStart"/>
      <w:r>
        <w:rPr>
          <w:rFonts w:ascii="Times New Roman" w:eastAsia="Times New Roman" w:hAnsi="Times New Roman" w:cs="Times New Roman"/>
          <w:sz w:val="24"/>
          <w:szCs w:val="24"/>
        </w:rPr>
        <w:t>dBZ</w:t>
      </w:r>
      <w:proofErr w:type="spellEnd"/>
      <w:r>
        <w:rPr>
          <w:rFonts w:ascii="Times New Roman" w:eastAsia="Times New Roman" w:hAnsi="Times New Roman" w:cs="Times New Roman"/>
          <w:sz w:val="24"/>
          <w:szCs w:val="24"/>
        </w:rPr>
        <w:t xml:space="preserve"> within 16 km (10 miles) of KALB; 2) southerly component to the flow reported at </w:t>
      </w:r>
      <w:r>
        <w:rPr>
          <w:rFonts w:ascii="Times New Roman" w:eastAsia="Times New Roman" w:hAnsi="Times New Roman" w:cs="Times New Roman"/>
          <w:sz w:val="24"/>
          <w:szCs w:val="24"/>
        </w:rPr>
        <w:t xml:space="preserve">KALB; and 3) </w:t>
      </w:r>
      <w:r>
        <w:rPr>
          <w:rFonts w:ascii="Times New Roman" w:eastAsia="Times New Roman" w:hAnsi="Times New Roman" w:cs="Times New Roman"/>
          <w:sz w:val="24"/>
          <w:szCs w:val="24"/>
        </w:rPr>
        <w:lastRenderedPageBreak/>
        <w:t>at least one flash detected by the National Lightning Detection Network (Cummins and Murphy 2009) within 16 km (10 miles) of KALB, fitting the definition of a thunderstorm in the vicinity (VCTS) and the radius within which KALB most often repo</w:t>
      </w:r>
      <w:r>
        <w:rPr>
          <w:rFonts w:ascii="Times New Roman" w:eastAsia="Times New Roman" w:hAnsi="Times New Roman" w:cs="Times New Roman"/>
          <w:sz w:val="24"/>
          <w:szCs w:val="24"/>
        </w:rPr>
        <w:t>rts a thunderstorm (</w:t>
      </w:r>
      <w:proofErr w:type="spellStart"/>
      <w:r>
        <w:rPr>
          <w:rFonts w:ascii="Times New Roman" w:eastAsia="Times New Roman" w:hAnsi="Times New Roman" w:cs="Times New Roman"/>
          <w:sz w:val="24"/>
          <w:szCs w:val="24"/>
        </w:rPr>
        <w:t>Corbosiero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Lazear</w:t>
      </w:r>
      <w:proofErr w:type="spellEnd"/>
      <w:r>
        <w:rPr>
          <w:rFonts w:ascii="Times New Roman" w:eastAsia="Times New Roman" w:hAnsi="Times New Roman" w:cs="Times New Roman"/>
          <w:sz w:val="24"/>
          <w:szCs w:val="24"/>
        </w:rPr>
        <w:t xml:space="preserve"> 2015). These selection criteria lead to the identification of 84 possible cases.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these cases</w:t>
      </w:r>
      <w:r>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warm-MHC did not impact the thunderstorms leading to 48 null cases, leaving 36 warm-MHC ev</w:t>
      </w:r>
      <w:r>
        <w:rPr>
          <w:rFonts w:ascii="Times New Roman" w:eastAsia="Times New Roman" w:hAnsi="Times New Roman" w:cs="Times New Roman"/>
          <w:sz w:val="24"/>
          <w:szCs w:val="24"/>
        </w:rPr>
        <w:t xml:space="preserve">ents. All cases of warm-MHC </w:t>
      </w:r>
      <w:r>
        <w:rPr>
          <w:rFonts w:ascii="Times New Roman" w:eastAsia="Times New Roman" w:hAnsi="Times New Roman" w:cs="Times New Roman"/>
          <w:sz w:val="24"/>
          <w:szCs w:val="24"/>
        </w:rPr>
        <w:t>had</w:t>
      </w:r>
      <w:r>
        <w:rPr>
          <w:rFonts w:ascii="Times New Roman" w:eastAsia="Times New Roman" w:hAnsi="Times New Roman" w:cs="Times New Roman"/>
          <w:sz w:val="24"/>
          <w:szCs w:val="24"/>
        </w:rPr>
        <w:t xml:space="preserve"> a nose of increased, surface based convective available potential energy (SBCAPE) being </w:t>
      </w:r>
      <w:proofErr w:type="spellStart"/>
      <w:r>
        <w:rPr>
          <w:rFonts w:ascii="Times New Roman" w:eastAsia="Times New Roman" w:hAnsi="Times New Roman" w:cs="Times New Roman"/>
          <w:sz w:val="24"/>
          <w:szCs w:val="24"/>
        </w:rPr>
        <w:t>advected</w:t>
      </w:r>
      <w:proofErr w:type="spellEnd"/>
      <w:r>
        <w:rPr>
          <w:rFonts w:ascii="Times New Roman" w:eastAsia="Times New Roman" w:hAnsi="Times New Roman" w:cs="Times New Roman"/>
          <w:sz w:val="24"/>
          <w:szCs w:val="24"/>
        </w:rPr>
        <w:t xml:space="preserve"> northward in the Hudson River Valley </w:t>
      </w:r>
      <w:r>
        <w:rPr>
          <w:rFonts w:ascii="Times New Roman" w:eastAsia="Times New Roman" w:hAnsi="Times New Roman" w:cs="Times New Roman"/>
          <w:sz w:val="24"/>
          <w:szCs w:val="24"/>
        </w:rPr>
        <w:t>as seen via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72525"/>
          <w:sz w:val="24"/>
          <w:szCs w:val="24"/>
        </w:rPr>
        <w:t>Storm Prediction Center’s (SPC’s)</w:t>
      </w:r>
      <w:r>
        <w:rPr>
          <w:rFonts w:ascii="Times New Roman" w:eastAsia="Times New Roman" w:hAnsi="Times New Roman" w:cs="Times New Roman"/>
          <w:sz w:val="24"/>
          <w:szCs w:val="24"/>
        </w:rPr>
        <w:t xml:space="preserve"> (Bothwell</w:t>
      </w:r>
      <w:r>
        <w:rPr>
          <w:rFonts w:ascii="Times New Roman" w:eastAsia="Times New Roman" w:hAnsi="Times New Roman" w:cs="Times New Roman"/>
          <w:sz w:val="24"/>
          <w:szCs w:val="24"/>
        </w:rPr>
        <w:t xml:space="preserve"> et al. 2002</w:t>
      </w:r>
      <w:r>
        <w:rPr>
          <w:rFonts w:ascii="Times New Roman" w:eastAsia="Times New Roman" w:hAnsi="Times New Roman" w:cs="Times New Roman"/>
          <w:sz w:val="24"/>
          <w:szCs w:val="24"/>
        </w:rPr>
        <w:t>) mesoscale analysis. U</w:t>
      </w:r>
      <w:r>
        <w:rPr>
          <w:rFonts w:ascii="Times New Roman" w:eastAsia="Times New Roman" w:hAnsi="Times New Roman" w:cs="Times New Roman"/>
          <w:sz w:val="24"/>
          <w:szCs w:val="24"/>
        </w:rPr>
        <w:t xml:space="preserve">sing radar and surface analyses, the 36 cases were examined for evidence </w:t>
      </w:r>
      <w:r>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boundaries such as fronts, troughs, and/or cold pools from ongoing convection. This examination revealed that in 17 of the 36 warm-MHC events convection was initiated as the result</w:t>
      </w:r>
      <w:r>
        <w:rPr>
          <w:rFonts w:ascii="Times New Roman" w:eastAsia="Times New Roman" w:hAnsi="Times New Roman" w:cs="Times New Roman"/>
          <w:sz w:val="24"/>
          <w:szCs w:val="24"/>
        </w:rPr>
        <w:t xml:space="preserve"> of other mechanisms (e.g., a prefrontal trough, cold pool dynamics, etc.), but was </w:t>
      </w:r>
      <w:r>
        <w:rPr>
          <w:rFonts w:ascii="Times New Roman" w:eastAsia="Times New Roman" w:hAnsi="Times New Roman" w:cs="Times New Roman"/>
          <w:i/>
          <w:sz w:val="24"/>
          <w:szCs w:val="24"/>
        </w:rPr>
        <w:t xml:space="preserve">enhanced </w:t>
      </w:r>
      <w:r>
        <w:rPr>
          <w:rFonts w:ascii="Times New Roman" w:eastAsia="Times New Roman" w:hAnsi="Times New Roman" w:cs="Times New Roman"/>
          <w:sz w:val="24"/>
          <w:szCs w:val="24"/>
        </w:rPr>
        <w:t>by MHC. As this paper seeks to analyze only pure MHC events, the cases that showed enhancement, rather than initiation, of convection by MHC were not included, lea</w:t>
      </w:r>
      <w:r>
        <w:rPr>
          <w:rFonts w:ascii="Times New Roman" w:eastAsia="Times New Roman" w:hAnsi="Times New Roman" w:cs="Times New Roman"/>
          <w:sz w:val="24"/>
          <w:szCs w:val="24"/>
        </w:rPr>
        <w:t>ving 19 warm-MHC cases to composite (Table 1).</w:t>
      </w:r>
    </w:p>
    <w:p w:rsidR="00C7109D" w:rsidRDefault="00613E1E">
      <w:pPr>
        <w:spacing w:line="480" w:lineRule="auto"/>
        <w:jc w:val="both"/>
      </w:pPr>
      <w:r>
        <w:rPr>
          <w:rFonts w:ascii="Times New Roman" w:eastAsia="Times New Roman" w:hAnsi="Times New Roman" w:cs="Times New Roman"/>
          <w:sz w:val="24"/>
          <w:szCs w:val="24"/>
        </w:rPr>
        <w:tab/>
        <w:t>As cold-MHC events are known to occur as nor’ea</w:t>
      </w:r>
      <w:r w:rsidR="003B49AF">
        <w:rPr>
          <w:rFonts w:ascii="Times New Roman" w:eastAsia="Times New Roman" w:hAnsi="Times New Roman" w:cs="Times New Roman"/>
          <w:sz w:val="24"/>
          <w:szCs w:val="24"/>
        </w:rPr>
        <w:t>sters depart the Capital Region</w:t>
      </w:r>
      <w:bookmarkStart w:id="0" w:name="_GoBack"/>
      <w:bookmarkEnd w:id="0"/>
      <w:r>
        <w:rPr>
          <w:rFonts w:ascii="Times New Roman" w:eastAsia="Times New Roman" w:hAnsi="Times New Roman" w:cs="Times New Roman"/>
          <w:sz w:val="24"/>
          <w:szCs w:val="24"/>
        </w:rPr>
        <w:t xml:space="preserve">, any day on which a surface low tracked </w:t>
      </w:r>
      <w:r>
        <w:rPr>
          <w:rFonts w:ascii="Times New Roman" w:eastAsia="Times New Roman" w:hAnsi="Times New Roman" w:cs="Times New Roman"/>
          <w:sz w:val="24"/>
          <w:szCs w:val="24"/>
        </w:rPr>
        <w:t>southeast or very close to</w:t>
      </w:r>
      <w:r>
        <w:rPr>
          <w:rFonts w:ascii="Times New Roman" w:eastAsia="Times New Roman" w:hAnsi="Times New Roman" w:cs="Times New Roman"/>
          <w:sz w:val="24"/>
          <w:szCs w:val="24"/>
        </w:rPr>
        <w:t xml:space="preserve"> </w:t>
      </w:r>
      <w:r>
        <w:rPr>
          <w:rFonts w:ascii="Times New Roman" w:eastAsia="Times New Roman" w:hAnsi="Times New Roman" w:cs="Times New Roman"/>
        </w:rPr>
        <w:t>40°N,</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70°W </w:t>
      </w:r>
      <w:r>
        <w:rPr>
          <w:rFonts w:ascii="Times New Roman" w:eastAsia="Times New Roman" w:hAnsi="Times New Roman" w:cs="Times New Roman"/>
          <w:sz w:val="24"/>
          <w:szCs w:val="24"/>
        </w:rPr>
        <w:t>was considered a potential case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Augustyniak</w:t>
      </w:r>
      <w:proofErr w:type="spellEnd"/>
      <w:r>
        <w:rPr>
          <w:rFonts w:ascii="Times New Roman" w:eastAsia="Times New Roman" w:hAnsi="Times New Roman" w:cs="Times New Roman"/>
          <w:sz w:val="24"/>
          <w:szCs w:val="24"/>
        </w:rPr>
        <w:t xml:space="preserve"> 2008)</w:t>
      </w:r>
      <w:r>
        <w:rPr>
          <w:rFonts w:ascii="Times New Roman" w:eastAsia="Times New Roman" w:hAnsi="Times New Roman" w:cs="Times New Roman"/>
          <w:sz w:val="24"/>
          <w:szCs w:val="24"/>
        </w:rPr>
        <w:t xml:space="preserve">. A total of 54 lows were </w:t>
      </w:r>
      <w:r>
        <w:rPr>
          <w:rFonts w:ascii="Times New Roman" w:eastAsia="Times New Roman" w:hAnsi="Times New Roman" w:cs="Times New Roman"/>
          <w:sz w:val="24"/>
          <w:szCs w:val="24"/>
        </w:rPr>
        <w:t>identified</w:t>
      </w:r>
      <w:r>
        <w:rPr>
          <w:rFonts w:ascii="Times New Roman" w:eastAsia="Times New Roman" w:hAnsi="Times New Roman" w:cs="Times New Roman"/>
          <w:sz w:val="24"/>
          <w:szCs w:val="24"/>
        </w:rPr>
        <w:t xml:space="preserve"> over the 13-year </w:t>
      </w:r>
      <w:r>
        <w:rPr>
          <w:rFonts w:ascii="Times New Roman" w:eastAsia="Times New Roman" w:hAnsi="Times New Roman" w:cs="Times New Roman"/>
          <w:sz w:val="24"/>
          <w:szCs w:val="24"/>
        </w:rPr>
        <w:t>period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otential cold-MHC events were first identified by the following criteria: 1) The KENX radar had to show the departing precipitation shield associated with the coastal cyclone and identify ne</w:t>
      </w:r>
      <w:r>
        <w:rPr>
          <w:rFonts w:ascii="Times New Roman" w:eastAsia="Times New Roman" w:hAnsi="Times New Roman" w:cs="Times New Roman"/>
          <w:sz w:val="24"/>
          <w:szCs w:val="24"/>
        </w:rPr>
        <w:t xml:space="preserve">w precipitation over the Capital Region; and, 2) The KENX radar had to show no evidence of lake-effect, or lake enhanced, processes (e.g., </w:t>
      </w:r>
      <w:proofErr w:type="spellStart"/>
      <w:r>
        <w:rPr>
          <w:rFonts w:ascii="Times New Roman" w:eastAsia="Times New Roman" w:hAnsi="Times New Roman" w:cs="Times New Roman"/>
          <w:sz w:val="24"/>
          <w:szCs w:val="24"/>
        </w:rPr>
        <w:t>Niziol</w:t>
      </w:r>
      <w:proofErr w:type="spellEnd"/>
      <w:r>
        <w:rPr>
          <w:rFonts w:ascii="Times New Roman" w:eastAsia="Times New Roman" w:hAnsi="Times New Roman" w:cs="Times New Roman"/>
          <w:sz w:val="24"/>
          <w:szCs w:val="24"/>
        </w:rPr>
        <w:t xml:space="preserve"> et al. 1995). Of the 54 potential </w:t>
      </w:r>
      <w:r>
        <w:rPr>
          <w:rFonts w:ascii="Times New Roman" w:eastAsia="Times New Roman" w:hAnsi="Times New Roman" w:cs="Times New Roman"/>
          <w:sz w:val="24"/>
          <w:szCs w:val="24"/>
        </w:rPr>
        <w:lastRenderedPageBreak/>
        <w:t xml:space="preserve">cases identified only 12 cases of cold-MHC were </w:t>
      </w:r>
      <w:r>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(Table 2) due to the s</w:t>
      </w:r>
      <w:r>
        <w:rPr>
          <w:rFonts w:ascii="Times New Roman" w:eastAsia="Times New Roman" w:hAnsi="Times New Roman" w:cs="Times New Roman"/>
          <w:sz w:val="24"/>
          <w:szCs w:val="24"/>
        </w:rPr>
        <w:t xml:space="preserve">trict criteria applied (note that it is difficult to estimate the number of </w:t>
      </w:r>
      <w:r>
        <w:rPr>
          <w:rFonts w:ascii="Times New Roman" w:eastAsia="Times New Roman" w:hAnsi="Times New Roman" w:cs="Times New Roman"/>
          <w:i/>
          <w:sz w:val="24"/>
          <w:szCs w:val="24"/>
        </w:rPr>
        <w:t>enhanced</w:t>
      </w:r>
      <w:r>
        <w:rPr>
          <w:rFonts w:ascii="Times New Roman" w:eastAsia="Times New Roman" w:hAnsi="Times New Roman" w:cs="Times New Roman"/>
          <w:sz w:val="24"/>
          <w:szCs w:val="24"/>
        </w:rPr>
        <w:t xml:space="preserve"> cold-MHC events, as they are often embedded in large swaths of synoptic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scale precipitation).</w:t>
      </w:r>
    </w:p>
    <w:p w:rsidR="00C7109D" w:rsidRDefault="00C7109D">
      <w:pPr>
        <w:spacing w:line="480" w:lineRule="auto"/>
        <w:jc w:val="both"/>
        <w:rPr>
          <w:rFonts w:ascii="Times New Roman" w:eastAsia="Times New Roman" w:hAnsi="Times New Roman" w:cs="Times New Roman"/>
          <w:sz w:val="24"/>
          <w:szCs w:val="24"/>
        </w:rPr>
      </w:pPr>
    </w:p>
    <w:p w:rsidR="00C7109D" w:rsidRDefault="00613E1E">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Data</w:t>
      </w:r>
    </w:p>
    <w:p w:rsidR="00C7109D" w:rsidRDefault="00613E1E">
      <w:pPr>
        <w:spacing w:line="480" w:lineRule="auto"/>
        <w:jc w:val="both"/>
        <w:rPr>
          <w:rFonts w:ascii="Times New Roman" w:eastAsia="Times New Roman" w:hAnsi="Times New Roman" w:cs="Times New Roman"/>
          <w:sz w:val="24"/>
          <w:szCs w:val="24"/>
        </w:rPr>
      </w:pPr>
      <w:bookmarkStart w:id="1" w:name="_xtoh1oj1tgfe" w:colFirst="0" w:colLast="0"/>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One-minute s</w:t>
      </w:r>
      <w:r>
        <w:rPr>
          <w:rFonts w:ascii="Times New Roman" w:eastAsia="Times New Roman" w:hAnsi="Times New Roman" w:cs="Times New Roman"/>
          <w:sz w:val="24"/>
          <w:szCs w:val="24"/>
        </w:rPr>
        <w:t>urface observations for the Capital Region were obtaine</w:t>
      </w:r>
      <w:r>
        <w:rPr>
          <w:rFonts w:ascii="Times New Roman" w:eastAsia="Times New Roman" w:hAnsi="Times New Roman" w:cs="Times New Roman"/>
          <w:sz w:val="24"/>
          <w:szCs w:val="24"/>
        </w:rPr>
        <w:t xml:space="preserve">d from the National Centers for Environmental Information (NCEI) </w:t>
      </w:r>
      <w:r>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automated surface observing systems (ASOS)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Albany (KALB), Glens Falls (KGFL), Poughkeepsie (KPOU), Rome (KRME) and Utica (KUCA) New York. ASOS data </w:t>
      </w:r>
      <w:r>
        <w:rPr>
          <w:rFonts w:ascii="Times New Roman" w:eastAsia="Times New Roman" w:hAnsi="Times New Roman" w:cs="Times New Roman"/>
          <w:sz w:val="24"/>
          <w:szCs w:val="24"/>
        </w:rPr>
        <w:t>was unavailable for approximately half the cases at both KRME and KUCA.</w:t>
      </w:r>
      <w:r>
        <w:rPr>
          <w:rFonts w:ascii="Times New Roman" w:eastAsia="Times New Roman" w:hAnsi="Times New Roman" w:cs="Times New Roman"/>
          <w:sz w:val="24"/>
          <w:szCs w:val="24"/>
        </w:rPr>
        <w:t xml:space="preserve">  Radar data for KENX was also obtained from NCEI. </w:t>
      </w:r>
      <w:r>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xml:space="preserve">s of </w:t>
      </w:r>
      <w:r>
        <w:rPr>
          <w:rFonts w:ascii="Times New Roman" w:eastAsia="Times New Roman" w:hAnsi="Times New Roman" w:cs="Times New Roman"/>
          <w:sz w:val="24"/>
          <w:szCs w:val="24"/>
        </w:rPr>
        <w:t>SB</w:t>
      </w:r>
      <w:r>
        <w:rPr>
          <w:rFonts w:ascii="Times New Roman" w:eastAsia="Times New Roman" w:hAnsi="Times New Roman" w:cs="Times New Roman"/>
          <w:sz w:val="24"/>
          <w:szCs w:val="24"/>
        </w:rPr>
        <w:t>CAPE, temperatures,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dewpoints for the individual warm-MHC cases w</w:t>
      </w:r>
      <w:r>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taken from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mesoanalysis</w:t>
      </w:r>
      <w:proofErr w:type="spellEnd"/>
      <w:r>
        <w:rPr>
          <w:rFonts w:ascii="Times New Roman" w:eastAsia="Times New Roman" w:hAnsi="Times New Roman" w:cs="Times New Roman"/>
          <w:sz w:val="24"/>
          <w:szCs w:val="24"/>
        </w:rPr>
        <w:t xml:space="preserve"> (Bothwell et al</w:t>
      </w:r>
      <w:r>
        <w:rPr>
          <w:rFonts w:ascii="Times New Roman" w:eastAsia="Times New Roman" w:hAnsi="Times New Roman" w:cs="Times New Roman"/>
          <w:sz w:val="24"/>
          <w:szCs w:val="24"/>
        </w:rPr>
        <w:t>. 2002)</w:t>
      </w:r>
      <w:r>
        <w:rPr>
          <w:rFonts w:ascii="Times New Roman" w:eastAsia="Times New Roman" w:hAnsi="Times New Roman" w:cs="Times New Roman"/>
          <w:sz w:val="24"/>
          <w:szCs w:val="24"/>
        </w:rPr>
        <w:t xml:space="preserve">.  </w:t>
      </w:r>
    </w:p>
    <w:p w:rsidR="00C7109D" w:rsidRDefault="00613E1E">
      <w:pPr>
        <w:spacing w:line="480" w:lineRule="auto"/>
        <w:ind w:firstLine="720"/>
        <w:jc w:val="both"/>
      </w:pPr>
      <w:bookmarkStart w:id="2" w:name="_gjdgxs" w:colFirst="0" w:colLast="0"/>
      <w:bookmarkEnd w:id="2"/>
      <w:r>
        <w:rPr>
          <w:rFonts w:ascii="Times New Roman" w:eastAsia="Times New Roman" w:hAnsi="Times New Roman" w:cs="Times New Roman"/>
          <w:sz w:val="24"/>
          <w:szCs w:val="24"/>
        </w:rPr>
        <w:t>Warm- and cold- MHC composites were created using the 0.5° Climate Forecast Systems Reanalysis (CFSR)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xml:space="preserve"> et al. 2010). Composites were centered on the time of maximum reflectivity of each MHC event (Table 1 and</w:t>
      </w: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and composite soundings were</w:t>
      </w:r>
      <w:r>
        <w:rPr>
          <w:rFonts w:ascii="Times New Roman" w:eastAsia="Times New Roman" w:hAnsi="Times New Roman" w:cs="Times New Roman"/>
          <w:sz w:val="24"/>
          <w:szCs w:val="24"/>
        </w:rPr>
        <w:t xml:space="preserve"> made at the grid point closest to Albany International Airport. Although the grid spacing of the CFSR doesn’t allow for the re</w:t>
      </w:r>
      <w:r>
        <w:rPr>
          <w:rFonts w:ascii="Times New Roman" w:eastAsia="Times New Roman" w:hAnsi="Times New Roman" w:cs="Times New Roman"/>
          <w:sz w:val="24"/>
          <w:szCs w:val="24"/>
        </w:rPr>
        <w:t>presentation</w:t>
      </w:r>
      <w:r>
        <w:rPr>
          <w:rFonts w:ascii="Times New Roman" w:eastAsia="Times New Roman" w:hAnsi="Times New Roman" w:cs="Times New Roman"/>
          <w:sz w:val="24"/>
          <w:szCs w:val="24"/>
        </w:rPr>
        <w:t xml:space="preserve"> of MHC-channeled flow, the composite analysis is used only for identifying synoptic-scale features leading to MHC to</w:t>
      </w:r>
      <w:r>
        <w:rPr>
          <w:rFonts w:ascii="Times New Roman" w:eastAsia="Times New Roman" w:hAnsi="Times New Roman" w:cs="Times New Roman"/>
          <w:sz w:val="24"/>
          <w:szCs w:val="24"/>
        </w:rPr>
        <w:t xml:space="preserve"> help develop forecaster awareness. For a more detailed, mesoscale analysis of a cold-MHC event, the 2 January 2008 case study uses output from the 13-km resolution Rapid Update Cycle (RUC) model initialized at 1200 UTC 2 January 2008. For the mesoscale an</w:t>
      </w:r>
      <w:r>
        <w:rPr>
          <w:rFonts w:ascii="Times New Roman" w:eastAsia="Times New Roman" w:hAnsi="Times New Roman" w:cs="Times New Roman"/>
          <w:sz w:val="24"/>
          <w:szCs w:val="24"/>
        </w:rPr>
        <w:t xml:space="preserve">alysis of a warm-MHC event, the 21 July 2010 case </w:t>
      </w:r>
      <w:r>
        <w:rPr>
          <w:rFonts w:ascii="Times New Roman" w:eastAsia="Times New Roman" w:hAnsi="Times New Roman" w:cs="Times New Roman"/>
          <w:sz w:val="24"/>
          <w:szCs w:val="24"/>
        </w:rPr>
        <w:t xml:space="preserve">study </w:t>
      </w:r>
      <w:r>
        <w:rPr>
          <w:rFonts w:ascii="Times New Roman" w:eastAsia="Times New Roman" w:hAnsi="Times New Roman" w:cs="Times New Roman"/>
          <w:sz w:val="24"/>
          <w:szCs w:val="24"/>
        </w:rPr>
        <w:lastRenderedPageBreak/>
        <w:t>uses output from the 13-km resolution Rapid Update Cycle (RUC) model initialized at 1800 UTC 21 July 2010. Surface analyses from t</w:t>
      </w:r>
      <w:r>
        <w:rPr>
          <w:rFonts w:ascii="Times New Roman" w:eastAsia="Times New Roman" w:hAnsi="Times New Roman" w:cs="Times New Roman"/>
          <w:sz w:val="24"/>
          <w:szCs w:val="24"/>
        </w:rPr>
        <w:t xml:space="preserve">he Weather Prediction Center (WPC) </w:t>
      </w:r>
      <w:r>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also used to </w:t>
      </w:r>
      <w:r>
        <w:rPr>
          <w:rFonts w:ascii="Times New Roman" w:eastAsia="Times New Roman" w:hAnsi="Times New Roman" w:cs="Times New Roman"/>
          <w:sz w:val="24"/>
          <w:szCs w:val="24"/>
        </w:rPr>
        <w:t>document the</w:t>
      </w:r>
      <w:r>
        <w:rPr>
          <w:rFonts w:ascii="Times New Roman" w:eastAsia="Times New Roman" w:hAnsi="Times New Roman" w:cs="Times New Roman"/>
          <w:sz w:val="24"/>
          <w:szCs w:val="24"/>
        </w:rPr>
        <w:t xml:space="preserve"> obse</w:t>
      </w:r>
      <w:r>
        <w:rPr>
          <w:rFonts w:ascii="Times New Roman" w:eastAsia="Times New Roman" w:hAnsi="Times New Roman" w:cs="Times New Roman"/>
          <w:sz w:val="24"/>
          <w:szCs w:val="24"/>
        </w:rPr>
        <w:t xml:space="preserve">rved surface pressure and location </w:t>
      </w:r>
      <w:r>
        <w:rPr>
          <w:rFonts w:ascii="Times New Roman" w:eastAsia="Times New Roman" w:hAnsi="Times New Roman" w:cs="Times New Roman"/>
          <w:sz w:val="24"/>
          <w:szCs w:val="24"/>
        </w:rPr>
        <w:t>of the surface low</w:t>
      </w:r>
      <w:r>
        <w:rPr>
          <w:rFonts w:ascii="Times New Roman" w:eastAsia="Times New Roman" w:hAnsi="Times New Roman" w:cs="Times New Roman"/>
          <w:sz w:val="24"/>
          <w:szCs w:val="24"/>
        </w:rPr>
        <w:t xml:space="preserve"> for th</w:t>
      </w:r>
      <w:r>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case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sectPr w:rsidR="00C7109D">
      <w:footerReference w:type="even"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E1E" w:rsidRDefault="00613E1E">
      <w:pPr>
        <w:spacing w:after="0" w:line="240" w:lineRule="auto"/>
      </w:pPr>
      <w:r>
        <w:separator/>
      </w:r>
    </w:p>
  </w:endnote>
  <w:endnote w:type="continuationSeparator" w:id="0">
    <w:p w:rsidR="00613E1E" w:rsidRDefault="0061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9D" w:rsidRDefault="00613E1E">
    <w:pPr>
      <w:tabs>
        <w:tab w:val="center" w:pos="4680"/>
        <w:tab w:val="right" w:pos="9360"/>
      </w:tabs>
      <w:spacing w:after="0" w:line="240" w:lineRule="auto"/>
      <w:jc w:val="center"/>
    </w:pPr>
    <w:r>
      <w:fldChar w:fldCharType="begin"/>
    </w:r>
    <w:r>
      <w:instrText>PAGE</w:instrText>
    </w:r>
    <w:r>
      <w:fldChar w:fldCharType="end"/>
    </w:r>
  </w:p>
  <w:p w:rsidR="00C7109D" w:rsidRDefault="00C7109D">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9D" w:rsidRDefault="00613E1E">
    <w:pPr>
      <w:tabs>
        <w:tab w:val="center" w:pos="4680"/>
        <w:tab w:val="righ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C323EA">
      <w:rPr>
        <w:rFonts w:ascii="Times New Roman" w:eastAsia="Times New Roman" w:hAnsi="Times New Roman" w:cs="Times New Roman"/>
      </w:rPr>
      <w:fldChar w:fldCharType="separate"/>
    </w:r>
    <w:r w:rsidR="003B49AF">
      <w:rPr>
        <w:rFonts w:ascii="Times New Roman" w:eastAsia="Times New Roman" w:hAnsi="Times New Roman" w:cs="Times New Roman"/>
        <w:noProof/>
      </w:rPr>
      <w:t>9</w:t>
    </w:r>
    <w:r>
      <w:rPr>
        <w:rFonts w:ascii="Times New Roman" w:eastAsia="Times New Roman" w:hAnsi="Times New Roman" w:cs="Times New Roman"/>
      </w:rPr>
      <w:fldChar w:fldCharType="end"/>
    </w:r>
  </w:p>
  <w:p w:rsidR="00C7109D" w:rsidRDefault="00C7109D">
    <w:pPr>
      <w:tabs>
        <w:tab w:val="center" w:pos="4680"/>
        <w:tab w:val="right" w:pos="9360"/>
      </w:tabs>
      <w:spacing w:after="0" w:line="240" w:lineRule="auto"/>
      <w:jc w:val="right"/>
    </w:pPr>
  </w:p>
  <w:p w:rsidR="00C7109D" w:rsidRDefault="00C7109D">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E1E" w:rsidRDefault="00613E1E">
      <w:pPr>
        <w:spacing w:after="0" w:line="240" w:lineRule="auto"/>
      </w:pPr>
      <w:r>
        <w:separator/>
      </w:r>
    </w:p>
  </w:footnote>
  <w:footnote w:type="continuationSeparator" w:id="0">
    <w:p w:rsidR="00613E1E" w:rsidRDefault="00613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109D"/>
    <w:rsid w:val="003B49AF"/>
    <w:rsid w:val="00613E1E"/>
    <w:rsid w:val="00697333"/>
    <w:rsid w:val="009A39D9"/>
    <w:rsid w:val="00C323EA"/>
    <w:rsid w:val="00C7109D"/>
    <w:rsid w:val="00D6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9728"/>
  <w15:docId w15:val="{6250E6C1-C4F0-4659-A290-5014D62E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Card</cp:lastModifiedBy>
  <cp:revision>5</cp:revision>
  <dcterms:created xsi:type="dcterms:W3CDTF">2017-10-28T16:32:00Z</dcterms:created>
  <dcterms:modified xsi:type="dcterms:W3CDTF">2017-10-28T16:44:00Z</dcterms:modified>
</cp:coreProperties>
</file>