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Fonts w:ascii="Times New Roman" w:cs="Times New Roman" w:eastAsia="Times New Roman" w:hAnsi="Times New Roman"/>
          <w:b w:val="1"/>
          <w:color w:val="272525"/>
          <w:sz w:val="24"/>
          <w:szCs w:val="24"/>
          <w:rtl w:val="0"/>
        </w:rPr>
        <w:br w:type="textWrapping"/>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color w:val="272525"/>
          <w:sz w:val="24"/>
          <w:szCs w:val="24"/>
        </w:rPr>
      </w:pPr>
      <w:r w:rsidDel="00000000" w:rsidR="00000000" w:rsidRPr="00000000">
        <w:rPr>
          <w:rFonts w:ascii="Times New Roman" w:cs="Times New Roman" w:eastAsia="Times New Roman" w:hAnsi="Times New Roman"/>
          <w:b w:val="1"/>
          <w:color w:val="272525"/>
          <w:sz w:val="24"/>
          <w:szCs w:val="24"/>
          <w:rtl w:val="0"/>
        </w:rPr>
        <w:t xml:space="preserve">Precipitation events associated with terrain-generated convergence in the </w:t>
      </w:r>
      <w:r w:rsidDel="00000000" w:rsidR="00000000" w:rsidRPr="00000000">
        <w:rPr>
          <w:rFonts w:ascii="Times New Roman" w:cs="Times New Roman" w:eastAsia="Times New Roman" w:hAnsi="Times New Roman"/>
          <w:b w:val="1"/>
          <w:sz w:val="24"/>
          <w:szCs w:val="24"/>
          <w:rtl w:val="0"/>
        </w:rPr>
        <w:t xml:space="preserve">Mohawk and Hudson River valleys of New York</w:t>
      </w: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color w:val="272525"/>
          <w:sz w:val="24"/>
          <w:szCs w:val="24"/>
        </w:rPr>
      </w:pPr>
      <w:r w:rsidDel="00000000" w:rsidR="00000000" w:rsidRPr="00000000">
        <w:rPr>
          <w:rFonts w:ascii="Times New Roman" w:cs="Times New Roman" w:eastAsia="Times New Roman" w:hAnsi="Times New Roman"/>
          <w:color w:val="272525"/>
          <w:sz w:val="24"/>
          <w:szCs w:val="24"/>
          <w:rtl w:val="0"/>
        </w:rPr>
        <w:t xml:space="preserve">Dylan Card, Kristen L. Corbosiero, Ross A. Lazear </w:t>
      </w:r>
    </w:p>
    <w:p w:rsidR="00000000" w:rsidDel="00000000" w:rsidP="00000000" w:rsidRDefault="00000000" w:rsidRPr="00000000" w14:paraId="00000014">
      <w:pPr>
        <w:spacing w:after="0" w:line="240" w:lineRule="auto"/>
        <w:jc w:val="center"/>
        <w:rPr>
          <w:rFonts w:ascii="Times New Roman" w:cs="Times New Roman" w:eastAsia="Times New Roman" w:hAnsi="Times New Roman"/>
          <w:i w:val="1"/>
          <w:color w:val="272525"/>
          <w:sz w:val="24"/>
          <w:szCs w:val="24"/>
        </w:rPr>
      </w:pPr>
      <w:r w:rsidDel="00000000" w:rsidR="00000000" w:rsidRPr="00000000">
        <w:rPr>
          <w:rFonts w:ascii="Times New Roman" w:cs="Times New Roman" w:eastAsia="Times New Roman" w:hAnsi="Times New Roman"/>
          <w:i w:val="1"/>
          <w:color w:val="272525"/>
          <w:sz w:val="24"/>
          <w:szCs w:val="24"/>
          <w:rtl w:val="0"/>
        </w:rPr>
        <w:t xml:space="preserve">Department of Atmospheric and Environmental Sciences</w:t>
        <w:br w:type="textWrapping"/>
        <w:t xml:space="preserve">University at Albany, State University of New York</w:t>
        <w:br w:type="textWrapping"/>
        <w:t xml:space="preserve">Albany, New York</w:t>
      </w:r>
    </w:p>
    <w:p w:rsidR="00000000" w:rsidDel="00000000" w:rsidP="00000000" w:rsidRDefault="00000000" w:rsidRPr="00000000" w14:paraId="00000015">
      <w:pPr>
        <w:spacing w:after="0" w:line="24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color w:val="272525"/>
          <w:sz w:val="24"/>
          <w:szCs w:val="24"/>
        </w:rPr>
      </w:pPr>
      <w:r w:rsidDel="00000000" w:rsidR="00000000" w:rsidRPr="00000000">
        <w:rPr>
          <w:rFonts w:ascii="Times New Roman" w:cs="Times New Roman" w:eastAsia="Times New Roman" w:hAnsi="Times New Roman"/>
          <w:color w:val="272525"/>
          <w:sz w:val="24"/>
          <w:szCs w:val="24"/>
          <w:rtl w:val="0"/>
        </w:rPr>
        <w:t xml:space="preserve">Hugh Johnson</w:t>
      </w:r>
    </w:p>
    <w:p w:rsidR="00000000" w:rsidDel="00000000" w:rsidP="00000000" w:rsidRDefault="00000000" w:rsidRPr="00000000" w14:paraId="00000018">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Retired National Weather Service Forecaster</w:t>
        <w:br w:type="textWrapping"/>
        <w:t xml:space="preserve">Albany, New York</w:t>
      </w:r>
    </w:p>
    <w:p w:rsidR="00000000" w:rsidDel="00000000" w:rsidP="00000000" w:rsidRDefault="00000000" w:rsidRPr="00000000" w14:paraId="00000019">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color w:val="272525"/>
          <w:sz w:val="24"/>
          <w:szCs w:val="24"/>
        </w:rPr>
      </w:pPr>
      <w:r w:rsidDel="00000000" w:rsidR="00000000" w:rsidRPr="00000000">
        <w:rPr>
          <w:rFonts w:ascii="Times New Roman" w:cs="Times New Roman" w:eastAsia="Times New Roman" w:hAnsi="Times New Roman"/>
          <w:color w:val="272525"/>
          <w:sz w:val="24"/>
          <w:szCs w:val="24"/>
          <w:rtl w:val="0"/>
        </w:rPr>
        <w:t xml:space="preserve">Michael Augustyniak </w:t>
      </w:r>
    </w:p>
    <w:p w:rsidR="00000000" w:rsidDel="00000000" w:rsidP="00000000" w:rsidRDefault="00000000" w:rsidRPr="00000000" w14:paraId="0000001C">
      <w:pPr>
        <w:spacing w:after="0" w:line="240" w:lineRule="auto"/>
        <w:jc w:val="center"/>
        <w:rPr>
          <w:rFonts w:ascii="Times New Roman" w:cs="Times New Roman" w:eastAsia="Times New Roman" w:hAnsi="Times New Roman"/>
          <w:color w:val="272525"/>
          <w:sz w:val="24"/>
          <w:szCs w:val="24"/>
        </w:rPr>
      </w:pPr>
      <w:r w:rsidDel="00000000" w:rsidR="00000000" w:rsidRPr="00000000">
        <w:rPr>
          <w:rFonts w:ascii="Times New Roman" w:cs="Times New Roman" w:eastAsia="Times New Roman" w:hAnsi="Times New Roman"/>
          <w:i w:val="1"/>
          <w:color w:val="272525"/>
          <w:sz w:val="24"/>
          <w:szCs w:val="24"/>
          <w:rtl w:val="0"/>
        </w:rPr>
        <w:t xml:space="preserve">WCCO</w:t>
        <w:br w:type="textWrapping"/>
        <w:t xml:space="preserve">Minneapolis, MN</w:t>
      </w: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1F">
      <w:pPr>
        <w:spacing w:after="0" w:line="48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20">
      <w:pPr>
        <w:spacing w:after="0" w:line="48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21">
      <w:pPr>
        <w:spacing w:after="0" w:line="480" w:lineRule="auto"/>
        <w:jc w:val="center"/>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22">
      <w:pPr>
        <w:spacing w:after="0" w:line="480" w:lineRule="auto"/>
        <w:rPr>
          <w:rFonts w:ascii="Times New Roman" w:cs="Times New Roman" w:eastAsia="Times New Roman" w:hAnsi="Times New Roman"/>
          <w:color w:val="272525"/>
          <w:sz w:val="24"/>
          <w:szCs w:val="24"/>
        </w:rPr>
      </w:pPr>
      <w:r w:rsidDel="00000000" w:rsidR="00000000" w:rsidRPr="00000000">
        <w:rPr>
          <w:rtl w:val="0"/>
        </w:rPr>
      </w:r>
    </w:p>
    <w:p w:rsidR="00000000" w:rsidDel="00000000" w:rsidP="00000000" w:rsidRDefault="00000000" w:rsidRPr="00000000" w14:paraId="00000023">
      <w:pPr>
        <w:spacing w:after="0" w:line="480" w:lineRule="auto"/>
        <w:jc w:val="center"/>
        <w:rPr>
          <w:rFonts w:ascii="Times New Roman" w:cs="Times New Roman" w:eastAsia="Times New Roman" w:hAnsi="Times New Roman"/>
          <w:b w:val="1"/>
          <w:color w:val="272525"/>
          <w:sz w:val="24"/>
          <w:szCs w:val="24"/>
        </w:rPr>
      </w:pPr>
      <w:r w:rsidDel="00000000" w:rsidR="00000000" w:rsidRPr="00000000">
        <w:rPr>
          <w:rFonts w:ascii="Times New Roman" w:cs="Times New Roman" w:eastAsia="Times New Roman" w:hAnsi="Times New Roman"/>
          <w:b w:val="1"/>
          <w:color w:val="272525"/>
          <w:sz w:val="24"/>
          <w:szCs w:val="24"/>
          <w:rtl w:val="0"/>
        </w:rPr>
        <w:t xml:space="preserve">ABSTRACT</w:t>
      </w:r>
    </w:p>
    <w:p w:rsidR="00000000" w:rsidDel="00000000" w:rsidP="00000000" w:rsidRDefault="00000000" w:rsidRPr="00000000" w14:paraId="00000024">
      <w:pPr>
        <w:spacing w:line="480" w:lineRule="auto"/>
        <w:ind w:firstLine="720"/>
        <w:jc w:val="both"/>
        <w:rPr>
          <w:rFonts w:ascii="Times New Roman" w:cs="Times New Roman" w:eastAsia="Times New Roman" w:hAnsi="Times New Roman"/>
          <w:color w:val="272525"/>
          <w:sz w:val="23"/>
          <w:szCs w:val="23"/>
        </w:rPr>
      </w:pPr>
      <w:r w:rsidDel="00000000" w:rsidR="00000000" w:rsidRPr="00000000">
        <w:rPr>
          <w:rFonts w:ascii="Times New Roman" w:cs="Times New Roman" w:eastAsia="Times New Roman" w:hAnsi="Times New Roman"/>
          <w:color w:val="272525"/>
          <w:sz w:val="23"/>
          <w:szCs w:val="23"/>
          <w:rtl w:val="0"/>
        </w:rPr>
        <w:t xml:space="preserve">The unique terrain of eastern New York State plays a pivotal role in both the warm and cold season weather of the region. The valleys of the west to east Mohawk River, and north to south Hudson River intersect in the Capital Region of New York, and can result in localized flow channeling and boundary layer convergence. Several previous case studies have documented the important role of Mohawk–Hudson convergence (MHC) in modulating the low-level wind profile in cases of warm-season severe weather. However, a comprehensive composite and case study analysis of these events, which pose a significant challenge to forecasters, has not been previously published. </w:t>
      </w:r>
    </w:p>
    <w:p w:rsidR="00000000" w:rsidDel="00000000" w:rsidP="00000000" w:rsidRDefault="00000000" w:rsidRPr="00000000" w14:paraId="00000025">
      <w:pPr>
        <w:spacing w:line="480" w:lineRule="auto"/>
        <w:jc w:val="both"/>
        <w:rPr>
          <w:rFonts w:ascii="Times New Roman" w:cs="Times New Roman" w:eastAsia="Times New Roman" w:hAnsi="Times New Roman"/>
          <w:color w:val="272525"/>
          <w:sz w:val="23"/>
          <w:szCs w:val="23"/>
        </w:rPr>
      </w:pPr>
      <w:r w:rsidDel="00000000" w:rsidR="00000000" w:rsidRPr="00000000">
        <w:rPr>
          <w:rFonts w:ascii="Times New Roman" w:cs="Times New Roman" w:eastAsia="Times New Roman" w:hAnsi="Times New Roman"/>
          <w:color w:val="272525"/>
          <w:sz w:val="23"/>
          <w:szCs w:val="23"/>
          <w:rtl w:val="0"/>
        </w:rPr>
        <w:tab/>
        <w:t xml:space="preserve">A composite analysis shows that warm-MHC precipitation events are characterized by low-level southwesterly geostrophic flow, with a surface low-pressure area located over eastern Quebec. The southwesterly flow is channeled in the valleys, which results in the northward advection of warm, moist air in the Hudson River Valley and westerly flow in the Mohawk River Valley, leading to boundary layer convergence. Cold-MHC events are characterized by weak cold-air advection from low-level, northwesterly geostrophic flow behind the cold front of a low-pressure system located off of the coast of New England. Surface winds are channeled westerly in the Mohawk Valley and northerly in the Hudson Valley. If low-level moisture persists after the passage of the cold front, the channeled low-level flow can lead to precipitation near the junction of the river valleys. </w:t>
      </w:r>
    </w:p>
    <w:p w:rsidR="00000000" w:rsidDel="00000000" w:rsidP="00000000" w:rsidRDefault="00000000" w:rsidRPr="00000000" w14:paraId="00000026">
      <w:pPr>
        <w:spacing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72525"/>
          <w:sz w:val="23"/>
          <w:szCs w:val="23"/>
          <w:rtl w:val="0"/>
        </w:rPr>
        <w:t xml:space="preserve">While most MHC events do not produce significant sensible weather, they can occasionally produce hazardous conditions if they occur with little warning and/or during peak travel times. Cold-MHC precipitation can result in persistent moderate to heavy snow in the wake of a departing cyclone, whereas warm-MHC cases often initiate an unexpected and severe thunderstorms in the vicinity of Albany International Airport.</w:t>
      </w:r>
      <w:r w:rsidDel="00000000" w:rsidR="00000000" w:rsidRPr="00000000">
        <w:rPr>
          <w:rFonts w:ascii="Times New Roman" w:cs="Times New Roman" w:eastAsia="Times New Roman" w:hAnsi="Times New Roman"/>
          <w:color w:val="272525"/>
          <w:sz w:val="24"/>
          <w:szCs w:val="24"/>
          <w:rtl w:val="0"/>
        </w:rPr>
        <w:t xml:space="preserve"> </w:t>
      </w:r>
      <w:r w:rsidDel="00000000" w:rsidR="00000000" w:rsidRPr="00000000">
        <w:rPr>
          <w:rtl w:val="0"/>
        </w:rPr>
      </w:r>
    </w:p>
    <w:p w:rsidR="00000000" w:rsidDel="00000000" w:rsidP="00000000" w:rsidRDefault="00000000" w:rsidRPr="00000000" w14:paraId="00000027">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Introduction</w:t>
      </w:r>
    </w:p>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Channeled flow occurs when topographic features, such as breaks in mountain barriers or valleys through complex terrain, act to change the local wind direction and/or speed. Frequently, this phenomenon is associated with surface wind observations that differ systematically from surrounding observations and/or the geostrophic wind direction, and occur only under certain synoptic conditions. As will be shown, the flow in the Capital Region of New York state, where the Mohawk and Hudson River valleys intersect (Figure 1), meets the characteristics for channeled flow in that the complex terrain of the surrounding Adirondack, Catskill, Berkshire, and Green Mountains acts to change the local winds and influence local weather.</w:t>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four main mechanisms described in Whiteman and Doran (1993) that have been identified as creating channeled flow. The first mechanism, thermal forcing, results from the diurnal cycle of heating in complex terrain, which causes up-valley winds during the day and down-valley winds during the night (e.g., Whiteman 1990; Rampanelli et al. 2004; Schmidli et al. 2009; Steafin et al. 2017). The second mechanism is downward momentum transport as a result of vertical turbulent mixing by gravity waves and/or friction (e.g., Jiang and Doyle 2008; Carrera et al. 2009; Serafin et al. 2017), generating in-valley winds that are of a similar direction as the ambient flow. The third mechanism is forced channeling, in which the wind is channeled by the valley walls creating a flow up or down the valley axis depending on the direction of the geostrophic wind. Sudden shifts in direction occur when the geostrophic winds change direction across the axis normal to the valley (Weber et al. 1998; Razy et al. 2011). Lastly, the fourth mechanism for channeled flow, pressure-driven channeling, is driven by the along-valley component of the large-scale geostrophic pressure gradient (Gross and Wippermann 1987; Kossmann and Sturman 2003; Carrera et al. 2009). </w:t>
      </w:r>
    </w:p>
    <w:p w:rsidR="00000000" w:rsidDel="00000000" w:rsidP="00000000" w:rsidRDefault="00000000" w:rsidRPr="00000000" w14:paraId="0000002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There have been many studies documenting the role of complex terrain in the generation of mesoscale weather phenomena around the world. Due to the topography surrounding the Puget Sound in post-cold front environments, mesoscale convergence events are responsible for spatial variations in the climatology of precipitation around Seattle (Mass 1981; Ferber et al. 1993). The complex topography of the Owens Valley in California can lead to thermally and dynamically induced mesoscale wind fields and high wind events in the valley (Cohn et al. 2004;</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Grubišić et al. 2008; Zhong et al. 2008; Strauss et al. 2016; Serafin et al. 2017). Complex terrain can also influence climatological surface winds due to channeling, such as in northwest Utah where it was hypothesized that the binomial distribution in the surface wind climatology was mainly due to thermal forcing. Upon further analysis, it was found that the temperature difference between the Great Salt Lake and the surrounding topography led to a low-level pressure gradient inducing the pressure-driven channeling (Rife et al. 2002; Jeglum and Hoch 2016). The Saint Lawrence River Valley experiences channeled flow that contributes to locally higher precipitation amounts in Montreal due to pressure-driven channeling (Carrera et al. 2009; Razy 2011; Cholette et al. 2015). This channeling sometimes occurs in association with tropical cyclones undergoing extratropical transition, which, like the case in Utah, establishes a synoptic-scale pressure gradient along the southwest to northeast axis of the valley (Milrad et al. 2012). Finally, channeled flow via the aforementioned mechanisms has been shown to occur even in very shallow river valleys such as Germany’s Rhine Valley, where valley walls only extend to 500 m in height (Gross and Wippermann 1987). </w:t>
      </w:r>
    </w:p>
    <w:p w:rsidR="00000000" w:rsidDel="00000000" w:rsidP="00000000" w:rsidRDefault="00000000" w:rsidRPr="00000000" w14:paraId="0000002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Hudson Valley is a broad and shallow river valley oriented north to south, stretching from near Glens Falls, NY to New York City. The Mohawk Valley is oriented from west to east stretching from Rome, NY to Albany, NY. As shown in Fig. 1, these two valleys intersect in the vicinity of Albany, NY, where the valleys are approximately 500 m deep at the shallowest point and 60 km across at the widest point. The intersection of the valleys can alter the flow in such a way that leads to locally strong, boundary layer convergence known as Mohawk–Hudson convergence (MHC), which can result in poorly predicted precipitation events and severe weather.</w:t>
      </w:r>
    </w:p>
    <w:p w:rsidR="00000000" w:rsidDel="00000000" w:rsidP="00000000" w:rsidRDefault="00000000" w:rsidRPr="00000000" w14:paraId="0000002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 </w:t>
        <w:tab/>
      </w:r>
    </w:p>
    <w:p w:rsidR="00000000" w:rsidDel="00000000" w:rsidP="00000000" w:rsidRDefault="00000000" w:rsidRPr="00000000" w14:paraId="0000002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MHC events happen in two regimes, the first being during the warm occurrences with southerly geostrophic flow, and the second being cold occurrences, which occur with northerly geostrophic flow. In both regimes, MHC events often happen with little warning, and can have significant societal impacts. For example, during warm-MHC events, or warm-season events enhanced by MHC, channeled flow has been shown to affect the formation of supercell tornadoes in cases such as the category 3 Fujita/Enhanced Fujita scale (F3/EF3) tornadoes that occurred on 29 May 1995 in Great Barrington, MA (Bosart et al. 2006), 31 May 1998 in Mechanicville, NY (LaPenta et al. 2005), and 22 May 2014 in Duanesburg, NY (Tang et al. 2016). In each of these cases, channeled, southerly flow up the Hudson River Valley increased surface instability (Riley and Bosart 1987; Bracken et al. 1998) and locally enhanced the vertical wind shear (e.g., Geerts et al. 2009; Peyraud 2013), turning discrete cells severe and strengthening supercells that propagated into the intersection of the valleys (LaPenta et al. 2005; Bosart et al. 2006; Tang et al. 2016).</w:t>
      </w:r>
    </w:p>
    <w:p w:rsidR="00000000" w:rsidDel="00000000" w:rsidP="00000000" w:rsidRDefault="00000000" w:rsidRPr="00000000" w14:paraId="0000002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case studies for cold-MHC events do not exist in the literature, although their impacts, moderate additional snowfall accumulation on the tail of nor’easters and extended periods of instrument or low instrument flight rules at Albany International Airport (KALB), can be significant (Augustyniak 2008). Also missing from the literature is a composite analysis of MHC events, which may aid forecasters in identifying the specific synoptic-scale conditions under which MHC events are likely to occur. This study will conduct such a 13-year composite analysis of both warm and cold MHC events and present a case study of a cold-MHC event from 2 January 2008 and a case study of a warm-MHC event from 21 July 2010.</w:t>
      </w:r>
    </w:p>
    <w:p w:rsidR="00000000" w:rsidDel="00000000" w:rsidP="00000000" w:rsidRDefault="00000000" w:rsidRPr="00000000" w14:paraId="0000003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and methodology for this study are described in section 2. The results of the warm-MHC composite analysis and a case study are presented in section 3, while the cold-MHC analysis and case study are presented in section 4. A forecaster checklist and conclusions are given in section 5.</w:t>
      </w:r>
    </w:p>
    <w:p w:rsidR="00000000" w:rsidDel="00000000" w:rsidP="00000000" w:rsidRDefault="00000000" w:rsidRPr="00000000" w14:paraId="0000003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Data and methodology</w:t>
      </w:r>
    </w:p>
    <w:p w:rsidR="00000000" w:rsidDel="00000000" w:rsidP="00000000" w:rsidRDefault="00000000" w:rsidRPr="00000000" w14:paraId="00000033">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Case selection</w:t>
      </w:r>
    </w:p>
    <w:p w:rsidR="00000000" w:rsidDel="00000000" w:rsidP="00000000" w:rsidRDefault="00000000" w:rsidRPr="00000000" w14:paraId="0000003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This study examines warm- (southerly) and cold- (northerly) MHC events from 2002–2014. Warm-MHC events were first identified by the following criteria: 1) reflectivity &gt;30 dBZ within 16 km (10 miles) of KALB; 2) southerly component to the flow reported at KALB; and 3) at least one flash detected by the National Lightning Detection Network (Cummins and Murphy 2009) within 16 km (10 miles) of KALB, fitting the definition of a thunderstorm in the vicinity (VCTS) and the radius within which KALB most often reports a thunderstorm (Corbosiero and Lazear 2015). These selection criteria lead to the identification of 84 possible cases. In a large number of these cases, however, warm-MHC did not impact the thunderstorms leading to 48 null cases, leaving 36 warm-MHC events. All cases of warm-MHC had a nose of increased, surface based convective available potential energy (SBCAPE) being advected northward in the Hudson River Valley as seen via </w:t>
      </w:r>
      <w:r w:rsidDel="00000000" w:rsidR="00000000" w:rsidRPr="00000000">
        <w:rPr>
          <w:rFonts w:ascii="Times New Roman" w:cs="Times New Roman" w:eastAsia="Times New Roman" w:hAnsi="Times New Roman"/>
          <w:color w:val="272525"/>
          <w:sz w:val="24"/>
          <w:szCs w:val="24"/>
          <w:rtl w:val="0"/>
        </w:rPr>
        <w:t xml:space="preserve">Storm Prediction Center’s (SPC’s)</w:t>
      </w:r>
      <w:r w:rsidDel="00000000" w:rsidR="00000000" w:rsidRPr="00000000">
        <w:rPr>
          <w:rFonts w:ascii="Times New Roman" w:cs="Times New Roman" w:eastAsia="Times New Roman" w:hAnsi="Times New Roman"/>
          <w:sz w:val="24"/>
          <w:szCs w:val="24"/>
          <w:rtl w:val="0"/>
        </w:rPr>
        <w:t xml:space="preserve"> (Bothwell et al. 2002) mesoscale analysis. Using radar and surface analyses, the 36 cases were examined for evidence of boundaries such as fronts, troughs, and/or cold pools from ongoing convection. This examination revealed that in 17 of the 36 warm-MHC events convection was initiated as the result of other mechanisms (e.g., a prefrontal trough, cold pool dynamics, etc.), but was </w:t>
      </w:r>
      <w:r w:rsidDel="00000000" w:rsidR="00000000" w:rsidRPr="00000000">
        <w:rPr>
          <w:rFonts w:ascii="Times New Roman" w:cs="Times New Roman" w:eastAsia="Times New Roman" w:hAnsi="Times New Roman"/>
          <w:i w:val="1"/>
          <w:sz w:val="24"/>
          <w:szCs w:val="24"/>
          <w:rtl w:val="0"/>
        </w:rPr>
        <w:t xml:space="preserve">enhanced </w:t>
      </w:r>
      <w:r w:rsidDel="00000000" w:rsidR="00000000" w:rsidRPr="00000000">
        <w:rPr>
          <w:rFonts w:ascii="Times New Roman" w:cs="Times New Roman" w:eastAsia="Times New Roman" w:hAnsi="Times New Roman"/>
          <w:sz w:val="24"/>
          <w:szCs w:val="24"/>
          <w:rtl w:val="0"/>
        </w:rPr>
        <w:t xml:space="preserve">by MHC. As this paper seeks to analyze only pure MHC events, the cases that showed enhancement, rather than initiation, of convection by MHC were not included, leaving 19 warm-MHC cases to composite (Table 1).</w:t>
      </w:r>
    </w:p>
    <w:p w:rsidR="00000000" w:rsidDel="00000000" w:rsidP="00000000" w:rsidRDefault="00000000" w:rsidRPr="00000000" w14:paraId="00000035">
      <w:pPr>
        <w:spacing w:line="480" w:lineRule="auto"/>
        <w:jc w:val="both"/>
        <w:rPr/>
      </w:pPr>
      <w:bookmarkStart w:colFirst="0" w:colLast="0" w:name="_gjdgxs" w:id="0"/>
      <w:bookmarkEnd w:id="0"/>
      <w:r w:rsidDel="00000000" w:rsidR="00000000" w:rsidRPr="00000000">
        <w:rPr>
          <w:rFonts w:ascii="Times New Roman" w:cs="Times New Roman" w:eastAsia="Times New Roman" w:hAnsi="Times New Roman"/>
          <w:sz w:val="24"/>
          <w:szCs w:val="24"/>
          <w:rtl w:val="0"/>
        </w:rPr>
        <w:tab/>
        <w:t xml:space="preserve">As cold-MHC events are known to occur as nor’easters depart the Capital Region, any day on which a surface low tracked southeast or very close to </w:t>
      </w:r>
      <w:r w:rsidDel="00000000" w:rsidR="00000000" w:rsidRPr="00000000">
        <w:rPr>
          <w:rFonts w:ascii="Times New Roman" w:cs="Times New Roman" w:eastAsia="Times New Roman" w:hAnsi="Times New Roman"/>
          <w:rtl w:val="0"/>
        </w:rPr>
        <w:t xml:space="preserve">40°N,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70°W </w:t>
      </w:r>
      <w:r w:rsidDel="00000000" w:rsidR="00000000" w:rsidRPr="00000000">
        <w:rPr>
          <w:rFonts w:ascii="Times New Roman" w:cs="Times New Roman" w:eastAsia="Times New Roman" w:hAnsi="Times New Roman"/>
          <w:sz w:val="24"/>
          <w:szCs w:val="24"/>
          <w:rtl w:val="0"/>
        </w:rPr>
        <w:t xml:space="preserve">was considered a potential case (Augustyniak 2008). A total of 54 lows were identified over the 13-year period and potential cold-MHC events were first identified by the following criteria: 1) The KENX radar had to show the departing precipitation shield associated with the coastal cyclone and identify new precipitation over the Capital Region; and, 2) The KENX radar had to show no evidence of lake-effect, or lake enhanced, processes (e.g., Niziol et al. 1995). Of the 54 potential cases identified only 12 cases of cold-MHC were found (Table 2) due to the strict criteria applied (note that it is difficult to estimate the number of </w:t>
      </w:r>
      <w:r w:rsidDel="00000000" w:rsidR="00000000" w:rsidRPr="00000000">
        <w:rPr>
          <w:rFonts w:ascii="Times New Roman" w:cs="Times New Roman" w:eastAsia="Times New Roman" w:hAnsi="Times New Roman"/>
          <w:i w:val="1"/>
          <w:sz w:val="24"/>
          <w:szCs w:val="24"/>
          <w:rtl w:val="0"/>
        </w:rPr>
        <w:t xml:space="preserve">enhanced</w:t>
      </w:r>
      <w:r w:rsidDel="00000000" w:rsidR="00000000" w:rsidRPr="00000000">
        <w:rPr>
          <w:rFonts w:ascii="Times New Roman" w:cs="Times New Roman" w:eastAsia="Times New Roman" w:hAnsi="Times New Roman"/>
          <w:sz w:val="24"/>
          <w:szCs w:val="24"/>
          <w:rtl w:val="0"/>
        </w:rPr>
        <w:t xml:space="preserve"> cold-MHC events, as they are often embedded in large swaths of synoptic-scale precipitation).</w:t>
      </w:r>
      <w:r w:rsidDel="00000000" w:rsidR="00000000" w:rsidRPr="00000000">
        <w:rPr>
          <w:rtl w:val="0"/>
        </w:rPr>
      </w:r>
    </w:p>
    <w:p w:rsidR="00000000" w:rsidDel="00000000" w:rsidP="00000000" w:rsidRDefault="00000000" w:rsidRPr="00000000" w14:paraId="0000003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Data</w:t>
      </w:r>
    </w:p>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ab/>
        <w:t xml:space="preserve">One-minute surface observations for the Capital Region were obtained from the National Centers for Environmental Information (NCEI) for the automated surface observing systems (ASOS) for Albany (KALB), Glens Falls (KGFL), Poughkeepsie (KPOU), Rome (KRME) and Utica (KUCA) New York. ASOS data was unavailable for approximately half the cases at both KRME and KUCA.  Radar data for KENX was also obtained from NCEI. Analyses of SBCAPE, temperatures, and dewpoints for the individual warm-MHC cases were taken from the SPC mesoanalysis (Bothwell et al. 2002).  </w:t>
      </w:r>
    </w:p>
    <w:p w:rsidR="00000000" w:rsidDel="00000000" w:rsidP="00000000" w:rsidRDefault="00000000" w:rsidRPr="00000000" w14:paraId="00000039">
      <w:pPr>
        <w:spacing w:line="480" w:lineRule="auto"/>
        <w:ind w:firstLine="720"/>
        <w:jc w:val="both"/>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Warm- and cold- MHC composites were created using the 0.5° Climate Forecast Systems Reanalysis (CFSR) (Saha et al. 2010). Composites were centered on the time of maximum reflectivity of each MHC event (Table 1 and 2) and composite soundings were made at the grid point closest to Albany International Airport. Although the grid spacing of the CFSR doesn’t allow for the representation of MHC-channeled flow, the composite analysis is used only for identifying synoptic-scale features leading to MHC to help develop forecaster awareness. For a more detailed, mesoscale analysis of a cold-MHC event, the 2 January 2008 case study uses output from the 13-km resolution Rapid Update Cycle (RUC) model initialized at 1200 UTC 2 January 2008. For the mesoscale analysis of a warm-MHC event, the 21 July 2010 case study uses output from the 13-km resolution Rapid Update Cycle (RUC) model initialized at 1800 UTC 21 July 2010. Surface analyses from the Weather Prediction Center (WPC) were also used to document the observed surface pressure and location of the surface low for these cases. </w:t>
      </w:r>
      <w:r w:rsidDel="00000000" w:rsidR="00000000" w:rsidRPr="00000000">
        <w:rPr>
          <w:rtl w:val="0"/>
        </w:rPr>
      </w:r>
    </w:p>
    <w:sectPr>
      <w:footerReference r:id="rId6" w:type="default"/>
      <w:footerReference r:id="rId7"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tabs>
        <w:tab w:val="center" w:pos="4680"/>
        <w:tab w:val="right" w:pos="9360"/>
      </w:tabs>
      <w:spacing w:after="0" w:line="240" w:lineRule="auto"/>
      <w:jc w:val="right"/>
      <w:rPr/>
    </w:pPr>
    <w:r w:rsidDel="00000000" w:rsidR="00000000" w:rsidRPr="00000000">
      <w:rPr>
        <w:rtl w:val="0"/>
      </w:rPr>
    </w:r>
  </w:p>
  <w:p w:rsidR="00000000" w:rsidDel="00000000" w:rsidP="00000000" w:rsidRDefault="00000000" w:rsidRPr="00000000" w14:paraId="0000003C">
    <w:pPr>
      <w:tabs>
        <w:tab w:val="center" w:pos="4680"/>
        <w:tab w:val="right" w:pos="9360"/>
      </w:tabs>
      <w:spacing w:after="72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pos="4680"/>
        <w:tab w:val="right" w:pos="9360"/>
      </w:tabs>
      <w:spacing w:after="0" w:line="24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tabs>
        <w:tab w:val="center" w:pos="4680"/>
        <w:tab w:val="right" w:pos="9360"/>
      </w:tabs>
      <w:spacing w:after="720"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