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B1B45C" w14:textId="77777777" w:rsidR="008F7809" w:rsidRPr="008F7809" w:rsidRDefault="008F7809" w:rsidP="008F7809">
      <w:pPr>
        <w:jc w:val="center"/>
        <w:rPr>
          <w:b/>
          <w:kern w:val="28"/>
          <w:sz w:val="28"/>
        </w:rPr>
      </w:pPr>
      <w:r w:rsidRPr="008F7809">
        <w:rPr>
          <w:b/>
          <w:kern w:val="28"/>
          <w:sz w:val="28"/>
        </w:rPr>
        <w:t>A Climatological Comparison of the Arctic Environment and Arctic Cyclones between Periods of Low and High Forecast Skill of the Synoptic-Scale Flow</w:t>
      </w:r>
    </w:p>
    <w:p w14:paraId="38064CF9" w14:textId="77777777" w:rsidR="00D90B97" w:rsidRPr="00F019AD" w:rsidRDefault="00D90B97" w:rsidP="006E19A6"/>
    <w:p w14:paraId="4610FDFB" w14:textId="28CA937D" w:rsidR="00D90B97" w:rsidRPr="008274AB" w:rsidRDefault="008F7809" w:rsidP="006E19A6">
      <w:pPr>
        <w:pStyle w:val="Authors"/>
        <w:spacing w:before="120" w:after="120"/>
      </w:pPr>
      <w:r>
        <w:t xml:space="preserve">Kevin A. </w:t>
      </w:r>
      <w:proofErr w:type="spellStart"/>
      <w:proofErr w:type="gramStart"/>
      <w:r>
        <w:t>Biernat</w:t>
      </w:r>
      <w:r w:rsidR="008274AB" w:rsidRPr="008274AB">
        <w:t>,</w:t>
      </w:r>
      <w:r w:rsidR="008274AB" w:rsidRPr="008274AB">
        <w:rPr>
          <w:vertAlign w:val="superscript"/>
        </w:rPr>
        <w:t>a</w:t>
      </w:r>
      <w:proofErr w:type="spellEnd"/>
      <w:proofErr w:type="gramEnd"/>
      <w:r w:rsidR="00D90B97" w:rsidRPr="008274AB">
        <w:t xml:space="preserve"> </w:t>
      </w:r>
      <w:r>
        <w:t xml:space="preserve">Daniel </w:t>
      </w:r>
      <w:proofErr w:type="spellStart"/>
      <w:r>
        <w:t>Keyser</w:t>
      </w:r>
      <w:r w:rsidR="008274AB" w:rsidRPr="008274AB">
        <w:t>,</w:t>
      </w:r>
      <w:r w:rsidR="00882981">
        <w:rPr>
          <w:vertAlign w:val="superscript"/>
        </w:rPr>
        <w:t>a</w:t>
      </w:r>
      <w:proofErr w:type="spellEnd"/>
      <w:r w:rsidR="00D90B97" w:rsidRPr="008274AB">
        <w:t xml:space="preserve"> </w:t>
      </w:r>
      <w:r>
        <w:t xml:space="preserve">and Lance F. </w:t>
      </w:r>
      <w:proofErr w:type="spellStart"/>
      <w:r>
        <w:t>Bosart</w:t>
      </w:r>
      <w:r w:rsidR="00882981">
        <w:rPr>
          <w:vertAlign w:val="superscript"/>
        </w:rPr>
        <w:t>a</w:t>
      </w:r>
      <w:proofErr w:type="spellEnd"/>
    </w:p>
    <w:p w14:paraId="18885F70" w14:textId="7A7AA093" w:rsidR="008F7809" w:rsidRDefault="00882981" w:rsidP="006E19A6">
      <w:pPr>
        <w:pStyle w:val="Affiliations"/>
        <w:spacing w:after="120"/>
      </w:pPr>
      <w:r>
        <w:rPr>
          <w:i w:val="0"/>
          <w:iCs/>
          <w:vertAlign w:val="superscript"/>
        </w:rPr>
        <w:t>a</w:t>
      </w:r>
      <w:r w:rsidR="008274AB" w:rsidRPr="008274AB">
        <w:rPr>
          <w:i w:val="0"/>
          <w:iCs/>
        </w:rPr>
        <w:t xml:space="preserve"> </w:t>
      </w:r>
      <w:r w:rsidR="008F7809" w:rsidRPr="008F7809">
        <w:t>Department of Atmospheric and Environmental Sciences, University at Albany, State University of New York, Albany, New York</w:t>
      </w:r>
    </w:p>
    <w:p w14:paraId="18431088" w14:textId="77777777" w:rsidR="00D90B97" w:rsidRPr="00F019AD" w:rsidRDefault="00D90B97" w:rsidP="006E19A6"/>
    <w:p w14:paraId="636DA657" w14:textId="65634AB6" w:rsidR="00D90B97" w:rsidRPr="00F019AD" w:rsidRDefault="00D90B97" w:rsidP="006E19A6">
      <w:pPr>
        <w:pStyle w:val="ParagraphText"/>
      </w:pPr>
      <w:r w:rsidRPr="009421D8">
        <w:rPr>
          <w:i/>
          <w:iCs/>
        </w:rPr>
        <w:t>Corresponding author</w:t>
      </w:r>
      <w:r w:rsidRPr="00F019AD">
        <w:t xml:space="preserve">: </w:t>
      </w:r>
      <w:r w:rsidR="008F7809">
        <w:t xml:space="preserve">Kevin A. </w:t>
      </w:r>
      <w:proofErr w:type="spellStart"/>
      <w:r w:rsidR="008F7809">
        <w:t>Biernat</w:t>
      </w:r>
      <w:proofErr w:type="spellEnd"/>
      <w:r w:rsidR="008274AB">
        <w:t xml:space="preserve">, </w:t>
      </w:r>
      <w:r w:rsidR="009308E6">
        <w:t>kevin.</w:t>
      </w:r>
      <w:r w:rsidR="00882981">
        <w:t>a.biernat@gmail.com</w:t>
      </w:r>
    </w:p>
    <w:p w14:paraId="2E96DDA4" w14:textId="3F95C135" w:rsidR="00531A0B" w:rsidRDefault="00531A0B" w:rsidP="006E19A6">
      <w:r>
        <w:br w:type="page"/>
      </w:r>
    </w:p>
    <w:p w14:paraId="6CC1AD59" w14:textId="77777777" w:rsidR="00D90B97" w:rsidRPr="00AC7667" w:rsidRDefault="00D90B97" w:rsidP="006E19A6">
      <w:pPr>
        <w:pStyle w:val="ComponentName"/>
      </w:pPr>
      <w:r w:rsidRPr="00AC7667">
        <w:lastRenderedPageBreak/>
        <w:t>ABSTRACT</w:t>
      </w:r>
    </w:p>
    <w:p w14:paraId="0619EEE7" w14:textId="3E3BF321" w:rsidR="00ED4271" w:rsidRPr="00ED4271" w:rsidRDefault="00FF34E4" w:rsidP="0098006E">
      <w:pPr>
        <w:pStyle w:val="ParagraphText"/>
        <w:rPr>
          <w:szCs w:val="24"/>
          <w:lang w:eastAsia="en-IN"/>
        </w:rPr>
      </w:pPr>
      <w:r>
        <w:t>The</w:t>
      </w:r>
      <w:r w:rsidR="002513A6">
        <w:t xml:space="preserve"> prediction </w:t>
      </w:r>
      <w:r>
        <w:t xml:space="preserve">of weather conditions in the Arctic </w:t>
      </w:r>
      <w:r w:rsidR="002513A6">
        <w:t>is important to human activities</w:t>
      </w:r>
      <w:r>
        <w:t xml:space="preserve"> in the Arctic</w:t>
      </w:r>
      <w:r w:rsidR="002513A6">
        <w:t xml:space="preserve">. </w:t>
      </w:r>
      <w:r w:rsidR="00ED4271">
        <w:t>Arctic cyclones (ACs)</w:t>
      </w:r>
      <w:r w:rsidR="008B4791">
        <w:t>, which are</w:t>
      </w:r>
      <w:r w:rsidR="00ED4271">
        <w:t xml:space="preserve"> extratropical cyclones that </w:t>
      </w:r>
      <w:r w:rsidR="00C261E5" w:rsidRPr="007A63F9">
        <w:t>originate within the Arctic or move into the Arctic from lower latitudes</w:t>
      </w:r>
      <w:r w:rsidR="008B4791">
        <w:t xml:space="preserve">, </w:t>
      </w:r>
      <w:r w:rsidR="002513A6">
        <w:t>can be associated with hazardous weather conditions</w:t>
      </w:r>
      <w:r w:rsidR="00054CC9" w:rsidRPr="00054CC9">
        <w:t xml:space="preserve"> </w:t>
      </w:r>
      <w:r w:rsidR="00054CC9">
        <w:t>that may adversely affect human activities</w:t>
      </w:r>
      <w:r w:rsidR="002513A6">
        <w:t xml:space="preserve">. </w:t>
      </w:r>
      <w:r w:rsidR="00414FEF" w:rsidRPr="00414FEF">
        <w:t xml:space="preserve">The purpose of this study is to </w:t>
      </w:r>
      <w:r w:rsidR="001F69AE">
        <w:t xml:space="preserve">increase </w:t>
      </w:r>
      <w:r w:rsidR="00963D15">
        <w:t>understanding of processes that influence</w:t>
      </w:r>
      <w:r w:rsidR="00414FEF" w:rsidRPr="00414FEF">
        <w:t xml:space="preserve"> </w:t>
      </w:r>
      <w:r w:rsidR="00963D15">
        <w:t xml:space="preserve">the </w:t>
      </w:r>
      <w:r w:rsidR="00414FEF" w:rsidRPr="00414FEF">
        <w:t>forecast skill of the synoptic-scale flow over the Arctic and of ACs. The 11-member NOAA Global Ensemble Forecast System (GEFS) reforecast dataset version 2 is utilized to identify periods of low and high forecast skill of the synoptic-scale flow over the Arctic, hereafter referred to as low-skill and high-skill periods, respectively, during the summers of 2007–2017, and to evaluate the forecast skill of ACs during these respective periods.</w:t>
      </w:r>
      <w:r w:rsidR="00414FEF">
        <w:t xml:space="preserve"> </w:t>
      </w:r>
      <w:r w:rsidR="000E1E66">
        <w:rPr>
          <w:szCs w:val="24"/>
          <w:lang w:eastAsia="en-IN"/>
        </w:rPr>
        <w:t>The ERA-Interim</w:t>
      </w:r>
      <w:r w:rsidR="0024445D">
        <w:rPr>
          <w:szCs w:val="24"/>
          <w:lang w:eastAsia="en-IN"/>
        </w:rPr>
        <w:t xml:space="preserve"> dataset</w:t>
      </w:r>
      <w:r w:rsidR="000E1E66">
        <w:rPr>
          <w:szCs w:val="24"/>
          <w:lang w:eastAsia="en-IN"/>
        </w:rPr>
        <w:t xml:space="preserve"> is </w:t>
      </w:r>
      <w:r w:rsidR="00A46A1E">
        <w:rPr>
          <w:szCs w:val="24"/>
          <w:lang w:eastAsia="en-IN"/>
        </w:rPr>
        <w:t>used</w:t>
      </w:r>
      <w:r w:rsidR="000E1E66">
        <w:rPr>
          <w:szCs w:val="24"/>
          <w:lang w:eastAsia="en-IN"/>
        </w:rPr>
        <w:t xml:space="preserve"> to </w:t>
      </w:r>
      <w:r w:rsidR="00946071">
        <w:rPr>
          <w:szCs w:val="24"/>
          <w:lang w:eastAsia="en-IN"/>
        </w:rPr>
        <w:t>examine</w:t>
      </w:r>
      <w:r w:rsidR="000E1E66">
        <w:rPr>
          <w:szCs w:val="24"/>
          <w:lang w:eastAsia="en-IN"/>
        </w:rPr>
        <w:t xml:space="preserve"> characteristics of the Arctic envi</w:t>
      </w:r>
      <w:r w:rsidR="0024445D">
        <w:rPr>
          <w:szCs w:val="24"/>
          <w:lang w:eastAsia="en-IN"/>
        </w:rPr>
        <w:t xml:space="preserve">ronment and </w:t>
      </w:r>
      <w:r w:rsidR="00EA6D68">
        <w:rPr>
          <w:szCs w:val="24"/>
          <w:lang w:eastAsia="en-IN"/>
        </w:rPr>
        <w:t xml:space="preserve">characteristics </w:t>
      </w:r>
      <w:r w:rsidR="0024445D">
        <w:rPr>
          <w:szCs w:val="24"/>
          <w:lang w:eastAsia="en-IN"/>
        </w:rPr>
        <w:t>of</w:t>
      </w:r>
      <w:r w:rsidR="000E1E66">
        <w:rPr>
          <w:szCs w:val="24"/>
          <w:lang w:eastAsia="en-IN"/>
        </w:rPr>
        <w:t xml:space="preserve"> ACs</w:t>
      </w:r>
      <w:r w:rsidR="00946071">
        <w:rPr>
          <w:szCs w:val="24"/>
          <w:lang w:eastAsia="en-IN"/>
        </w:rPr>
        <w:t xml:space="preserve"> during low-skill and high-skill periods</w:t>
      </w:r>
      <w:r w:rsidR="00462656">
        <w:rPr>
          <w:szCs w:val="24"/>
          <w:lang w:eastAsia="en-IN"/>
        </w:rPr>
        <w:t xml:space="preserve">. </w:t>
      </w:r>
      <w:r w:rsidR="00C7487C">
        <w:rPr>
          <w:szCs w:val="24"/>
          <w:lang w:eastAsia="en-IN"/>
        </w:rPr>
        <w:t xml:space="preserve">The </w:t>
      </w:r>
      <w:r w:rsidR="00B37687" w:rsidRPr="00B37687">
        <w:rPr>
          <w:szCs w:val="24"/>
          <w:lang w:eastAsia="en-IN"/>
        </w:rPr>
        <w:t>Arctic</w:t>
      </w:r>
      <w:r w:rsidR="00B37687">
        <w:rPr>
          <w:szCs w:val="24"/>
          <w:lang w:eastAsia="en-IN"/>
        </w:rPr>
        <w:t xml:space="preserve"> </w:t>
      </w:r>
      <w:r w:rsidR="00B37687" w:rsidRPr="00B37687">
        <w:rPr>
          <w:szCs w:val="24"/>
          <w:lang w:eastAsia="en-IN"/>
        </w:rPr>
        <w:t>environment tends</w:t>
      </w:r>
      <w:r w:rsidR="00462656">
        <w:rPr>
          <w:szCs w:val="24"/>
          <w:lang w:eastAsia="en-IN"/>
        </w:rPr>
        <w:t xml:space="preserve"> to be characterized by </w:t>
      </w:r>
      <w:r w:rsidR="00840259">
        <w:rPr>
          <w:szCs w:val="24"/>
          <w:lang w:eastAsia="en-IN"/>
        </w:rPr>
        <w:t>more vigorous</w:t>
      </w:r>
      <w:r w:rsidR="001B75B5">
        <w:rPr>
          <w:szCs w:val="24"/>
          <w:lang w:eastAsia="en-IN"/>
        </w:rPr>
        <w:t xml:space="preserve"> </w:t>
      </w:r>
      <w:r w:rsidR="00840259">
        <w:rPr>
          <w:szCs w:val="24"/>
          <w:lang w:eastAsia="en-IN"/>
        </w:rPr>
        <w:t xml:space="preserve">baroclinic processes and </w:t>
      </w:r>
      <w:r w:rsidR="00B37687" w:rsidRPr="00B37687">
        <w:rPr>
          <w:szCs w:val="24"/>
          <w:lang w:eastAsia="en-IN"/>
        </w:rPr>
        <w:t>latent heating</w:t>
      </w:r>
      <w:r w:rsidR="00B37687">
        <w:rPr>
          <w:szCs w:val="24"/>
          <w:lang w:eastAsia="en-IN"/>
        </w:rPr>
        <w:t xml:space="preserve"> </w:t>
      </w:r>
      <w:r w:rsidR="00B37687" w:rsidRPr="00B37687">
        <w:rPr>
          <w:szCs w:val="24"/>
          <w:lang w:eastAsia="en-IN"/>
        </w:rPr>
        <w:t>during low-skill periods compared to high-skill periods. ACs occur more frequently</w:t>
      </w:r>
      <w:r w:rsidR="00A534E5" w:rsidRPr="00A534E5">
        <w:t xml:space="preserve"> </w:t>
      </w:r>
      <w:r w:rsidR="006B13DD">
        <w:t>over</w:t>
      </w:r>
      <w:r w:rsidR="006B13DD" w:rsidRPr="00D20774">
        <w:t xml:space="preserve"> </w:t>
      </w:r>
      <w:r w:rsidR="00A534E5" w:rsidRPr="00D20774">
        <w:t>much of</w:t>
      </w:r>
      <w:r w:rsidR="00C94379">
        <w:t xml:space="preserve"> the</w:t>
      </w:r>
      <w:r w:rsidR="00A534E5" w:rsidRPr="00D20774">
        <w:t xml:space="preserve"> </w:t>
      </w:r>
      <w:r w:rsidR="00A534E5">
        <w:t>Arctic</w:t>
      </w:r>
      <w:r w:rsidR="00B37687" w:rsidRPr="00B37687">
        <w:rPr>
          <w:szCs w:val="24"/>
          <w:lang w:eastAsia="en-IN"/>
        </w:rPr>
        <w:t xml:space="preserve">, tend </w:t>
      </w:r>
      <w:r w:rsidR="00A534E5">
        <w:rPr>
          <w:szCs w:val="24"/>
          <w:lang w:eastAsia="en-IN"/>
        </w:rPr>
        <w:t xml:space="preserve">to be stronger, and tend to be located </w:t>
      </w:r>
      <w:r w:rsidR="00B37687" w:rsidRPr="00B37687">
        <w:rPr>
          <w:szCs w:val="24"/>
          <w:lang w:eastAsia="en-IN"/>
        </w:rPr>
        <w:t xml:space="preserve">in </w:t>
      </w:r>
      <w:r w:rsidR="00A1043A">
        <w:rPr>
          <w:szCs w:val="24"/>
          <w:lang w:eastAsia="en-IN"/>
        </w:rPr>
        <w:t>regions of</w:t>
      </w:r>
      <w:r w:rsidR="00A1043A" w:rsidRPr="00B37687">
        <w:rPr>
          <w:szCs w:val="24"/>
          <w:lang w:eastAsia="en-IN"/>
        </w:rPr>
        <w:t xml:space="preserve"> </w:t>
      </w:r>
      <w:r w:rsidR="00A1043A">
        <w:rPr>
          <w:szCs w:val="24"/>
          <w:lang w:eastAsia="en-IN"/>
        </w:rPr>
        <w:t>larger</w:t>
      </w:r>
      <w:r w:rsidR="00EE2C2E">
        <w:rPr>
          <w:szCs w:val="24"/>
          <w:lang w:eastAsia="en-IN"/>
        </w:rPr>
        <w:t xml:space="preserve"> lower-tropospheric baroclinicity,</w:t>
      </w:r>
      <w:r w:rsidR="0001054C">
        <w:rPr>
          <w:szCs w:val="24"/>
          <w:lang w:eastAsia="en-IN"/>
        </w:rPr>
        <w:t xml:space="preserve"> </w:t>
      </w:r>
      <w:r w:rsidR="00A1043A" w:rsidRPr="00B37687">
        <w:rPr>
          <w:szCs w:val="24"/>
          <w:lang w:eastAsia="en-IN"/>
        </w:rPr>
        <w:t>lower-to</w:t>
      </w:r>
      <w:r w:rsidR="00A1043A">
        <w:rPr>
          <w:szCs w:val="24"/>
          <w:lang w:eastAsia="en-IN"/>
        </w:rPr>
        <w:t>-</w:t>
      </w:r>
      <w:proofErr w:type="spellStart"/>
      <w:r w:rsidR="00A1043A" w:rsidRPr="00B37687">
        <w:rPr>
          <w:szCs w:val="24"/>
          <w:lang w:eastAsia="en-IN"/>
        </w:rPr>
        <w:t>midtropospheric</w:t>
      </w:r>
      <w:proofErr w:type="spellEnd"/>
      <w:r w:rsidR="0001054C">
        <w:rPr>
          <w:szCs w:val="24"/>
          <w:lang w:eastAsia="en-IN"/>
        </w:rPr>
        <w:t xml:space="preserve"> </w:t>
      </w:r>
      <w:proofErr w:type="spellStart"/>
      <w:r w:rsidR="0001054C">
        <w:rPr>
          <w:szCs w:val="24"/>
          <w:lang w:eastAsia="en-IN"/>
        </w:rPr>
        <w:t>Eady</w:t>
      </w:r>
      <w:proofErr w:type="spellEnd"/>
      <w:r w:rsidR="0001054C">
        <w:rPr>
          <w:szCs w:val="24"/>
          <w:lang w:eastAsia="en-IN"/>
        </w:rPr>
        <w:t xml:space="preserve"> growth rate (EGR)</w:t>
      </w:r>
      <w:r w:rsidR="00A1043A" w:rsidRPr="00B37687">
        <w:rPr>
          <w:szCs w:val="24"/>
          <w:lang w:eastAsia="en-IN"/>
        </w:rPr>
        <w:t xml:space="preserve">, </w:t>
      </w:r>
      <w:r w:rsidR="0001054C">
        <w:rPr>
          <w:szCs w:val="24"/>
          <w:lang w:eastAsia="en-IN"/>
        </w:rPr>
        <w:t>and</w:t>
      </w:r>
      <w:r w:rsidR="00A1043A" w:rsidRPr="00B37687">
        <w:rPr>
          <w:szCs w:val="24"/>
          <w:lang w:eastAsia="en-IN"/>
        </w:rPr>
        <w:t xml:space="preserve"> latent</w:t>
      </w:r>
      <w:r w:rsidR="00A1043A">
        <w:rPr>
          <w:szCs w:val="24"/>
          <w:lang w:eastAsia="en-IN"/>
        </w:rPr>
        <w:t xml:space="preserve"> heating</w:t>
      </w:r>
      <w:r w:rsidR="00A534E5">
        <w:rPr>
          <w:szCs w:val="24"/>
          <w:lang w:eastAsia="en-IN"/>
        </w:rPr>
        <w:t>,</w:t>
      </w:r>
      <w:r w:rsidR="00B37687" w:rsidRPr="00B37687">
        <w:rPr>
          <w:szCs w:val="24"/>
          <w:lang w:eastAsia="en-IN"/>
        </w:rPr>
        <w:t xml:space="preserve"> during low-skill periods</w:t>
      </w:r>
      <w:r w:rsidR="00B37687">
        <w:rPr>
          <w:szCs w:val="24"/>
          <w:lang w:eastAsia="en-IN"/>
        </w:rPr>
        <w:t xml:space="preserve"> </w:t>
      </w:r>
      <w:r w:rsidR="00B37687" w:rsidRPr="00B37687">
        <w:rPr>
          <w:szCs w:val="24"/>
          <w:lang w:eastAsia="en-IN"/>
        </w:rPr>
        <w:t xml:space="preserve">compared to high-skill periods. </w:t>
      </w:r>
      <w:r w:rsidR="001E4925">
        <w:rPr>
          <w:szCs w:val="24"/>
          <w:lang w:eastAsia="en-IN"/>
        </w:rPr>
        <w:t>ACs</w:t>
      </w:r>
      <w:r w:rsidR="001B75B5">
        <w:rPr>
          <w:szCs w:val="24"/>
          <w:lang w:eastAsia="en-IN"/>
        </w:rPr>
        <w:t xml:space="preserve"> during low-skill periods that are</w:t>
      </w:r>
      <w:r w:rsidR="0098006E">
        <w:rPr>
          <w:szCs w:val="24"/>
          <w:lang w:eastAsia="en-IN"/>
        </w:rPr>
        <w:t xml:space="preserve"> characterized by low forecast skill</w:t>
      </w:r>
      <w:r w:rsidR="001B75B5">
        <w:rPr>
          <w:szCs w:val="24"/>
          <w:lang w:eastAsia="en-IN"/>
        </w:rPr>
        <w:t xml:space="preserve"> of intensity</w:t>
      </w:r>
      <w:r w:rsidR="00A1043A">
        <w:rPr>
          <w:szCs w:val="24"/>
          <w:lang w:eastAsia="en-IN"/>
        </w:rPr>
        <w:t xml:space="preserve"> </w:t>
      </w:r>
      <w:r w:rsidR="00C7487C">
        <w:rPr>
          <w:szCs w:val="24"/>
          <w:lang w:eastAsia="en-IN"/>
        </w:rPr>
        <w:t>tend</w:t>
      </w:r>
      <w:r w:rsidR="00B37687" w:rsidRPr="00B37687">
        <w:rPr>
          <w:szCs w:val="24"/>
          <w:lang w:eastAsia="en-IN"/>
        </w:rPr>
        <w:t xml:space="preserve"> to be relatively strong and</w:t>
      </w:r>
      <w:r w:rsidR="00C7487C">
        <w:rPr>
          <w:szCs w:val="24"/>
          <w:lang w:eastAsia="en-IN"/>
        </w:rPr>
        <w:t xml:space="preserve"> tend to be</w:t>
      </w:r>
      <w:r w:rsidR="00B37687" w:rsidRPr="00B37687">
        <w:rPr>
          <w:szCs w:val="24"/>
          <w:lang w:eastAsia="en-IN"/>
        </w:rPr>
        <w:t xml:space="preserve"> </w:t>
      </w:r>
      <w:r w:rsidR="00A534E5">
        <w:rPr>
          <w:szCs w:val="24"/>
          <w:lang w:eastAsia="en-IN"/>
        </w:rPr>
        <w:t>located</w:t>
      </w:r>
      <w:r w:rsidR="00B37687" w:rsidRPr="00B37687">
        <w:rPr>
          <w:szCs w:val="24"/>
          <w:lang w:eastAsia="en-IN"/>
        </w:rPr>
        <w:t xml:space="preserve"> in</w:t>
      </w:r>
      <w:r w:rsidR="00B37687">
        <w:rPr>
          <w:szCs w:val="24"/>
          <w:lang w:eastAsia="en-IN"/>
        </w:rPr>
        <w:t xml:space="preserve"> </w:t>
      </w:r>
      <w:r w:rsidR="00B37687" w:rsidRPr="00B37687">
        <w:rPr>
          <w:szCs w:val="24"/>
          <w:lang w:eastAsia="en-IN"/>
        </w:rPr>
        <w:t xml:space="preserve">regions of relatively </w:t>
      </w:r>
      <w:r w:rsidR="00F726CF">
        <w:rPr>
          <w:szCs w:val="24"/>
          <w:lang w:eastAsia="en-IN"/>
        </w:rPr>
        <w:t>large</w:t>
      </w:r>
      <w:r w:rsidR="005C3537">
        <w:rPr>
          <w:szCs w:val="24"/>
          <w:lang w:eastAsia="en-IN"/>
        </w:rPr>
        <w:t xml:space="preserve"> </w:t>
      </w:r>
      <w:r w:rsidR="00EE2C2E">
        <w:rPr>
          <w:szCs w:val="24"/>
          <w:lang w:eastAsia="en-IN"/>
        </w:rPr>
        <w:t xml:space="preserve">lower-tropospheric baroclinicity, </w:t>
      </w:r>
      <w:r w:rsidR="00B37687" w:rsidRPr="00B37687">
        <w:rPr>
          <w:szCs w:val="24"/>
          <w:lang w:eastAsia="en-IN"/>
        </w:rPr>
        <w:t>lower-to</w:t>
      </w:r>
      <w:r w:rsidR="00B37687">
        <w:rPr>
          <w:szCs w:val="24"/>
          <w:lang w:eastAsia="en-IN"/>
        </w:rPr>
        <w:t>-</w:t>
      </w:r>
      <w:proofErr w:type="spellStart"/>
      <w:r w:rsidR="00B37687" w:rsidRPr="00B37687">
        <w:rPr>
          <w:szCs w:val="24"/>
          <w:lang w:eastAsia="en-IN"/>
        </w:rPr>
        <w:t>midtropospheric</w:t>
      </w:r>
      <w:proofErr w:type="spellEnd"/>
      <w:r w:rsidR="00B37687">
        <w:rPr>
          <w:szCs w:val="24"/>
          <w:lang w:eastAsia="en-IN"/>
        </w:rPr>
        <w:t xml:space="preserve"> </w:t>
      </w:r>
      <w:r w:rsidR="00FC7843">
        <w:rPr>
          <w:szCs w:val="24"/>
          <w:lang w:eastAsia="en-IN"/>
        </w:rPr>
        <w:t>EGR</w:t>
      </w:r>
      <w:r w:rsidR="00A1043A">
        <w:rPr>
          <w:szCs w:val="24"/>
          <w:lang w:eastAsia="en-IN"/>
        </w:rPr>
        <w:t xml:space="preserve">, </w:t>
      </w:r>
      <w:r w:rsidR="005C3537">
        <w:rPr>
          <w:szCs w:val="24"/>
          <w:lang w:eastAsia="en-IN"/>
        </w:rPr>
        <w:t xml:space="preserve">and </w:t>
      </w:r>
      <w:r w:rsidR="00B37687" w:rsidRPr="00B37687">
        <w:rPr>
          <w:szCs w:val="24"/>
          <w:lang w:eastAsia="en-IN"/>
        </w:rPr>
        <w:t>latent</w:t>
      </w:r>
      <w:r w:rsidR="00B37687">
        <w:rPr>
          <w:szCs w:val="24"/>
          <w:lang w:eastAsia="en-IN"/>
        </w:rPr>
        <w:t xml:space="preserve"> </w:t>
      </w:r>
      <w:r w:rsidR="003350FF">
        <w:rPr>
          <w:szCs w:val="24"/>
          <w:lang w:eastAsia="en-IN"/>
        </w:rPr>
        <w:t>heating.</w:t>
      </w:r>
      <w:r w:rsidR="008D4548">
        <w:rPr>
          <w:szCs w:val="24"/>
          <w:lang w:eastAsia="en-IN"/>
        </w:rPr>
        <w:t xml:space="preserve"> </w:t>
      </w:r>
    </w:p>
    <w:p w14:paraId="3E1F732E" w14:textId="77777777" w:rsidR="001D226F" w:rsidRDefault="001D226F" w:rsidP="00AE7EB7">
      <w:pPr>
        <w:pStyle w:val="ParagraphText"/>
      </w:pPr>
    </w:p>
    <w:p w14:paraId="030652B1" w14:textId="77777777" w:rsidR="00907DE9" w:rsidRDefault="00907DE9" w:rsidP="00AE7EB7">
      <w:pPr>
        <w:pStyle w:val="ParagraphText"/>
      </w:pPr>
    </w:p>
    <w:p w14:paraId="7DC9191C" w14:textId="77777777" w:rsidR="00907DE9" w:rsidRDefault="00907DE9" w:rsidP="00AE7EB7">
      <w:pPr>
        <w:pStyle w:val="ParagraphText"/>
      </w:pPr>
    </w:p>
    <w:p w14:paraId="1D4C749C" w14:textId="77777777" w:rsidR="00907DE9" w:rsidRDefault="00907DE9" w:rsidP="00AE7EB7">
      <w:pPr>
        <w:pStyle w:val="ParagraphText"/>
      </w:pPr>
    </w:p>
    <w:p w14:paraId="6EAF5CFC" w14:textId="77777777" w:rsidR="00907DE9" w:rsidRDefault="00907DE9" w:rsidP="00AE7EB7">
      <w:pPr>
        <w:pStyle w:val="ParagraphText"/>
      </w:pPr>
    </w:p>
    <w:p w14:paraId="28E55C29" w14:textId="77777777" w:rsidR="00907DE9" w:rsidRDefault="00907DE9" w:rsidP="00AE7EB7">
      <w:pPr>
        <w:pStyle w:val="ParagraphText"/>
      </w:pPr>
    </w:p>
    <w:p w14:paraId="5AB11B15" w14:textId="77777777" w:rsidR="00907DE9" w:rsidRDefault="00907DE9" w:rsidP="00AE7EB7">
      <w:pPr>
        <w:pStyle w:val="ParagraphText"/>
      </w:pPr>
    </w:p>
    <w:p w14:paraId="085CD37E" w14:textId="77777777" w:rsidR="00907DE9" w:rsidRDefault="00907DE9" w:rsidP="00AE7EB7">
      <w:pPr>
        <w:pStyle w:val="ParagraphText"/>
      </w:pPr>
    </w:p>
    <w:p w14:paraId="3E19A45B" w14:textId="77777777" w:rsidR="00907DE9" w:rsidRDefault="00907DE9" w:rsidP="003009F5">
      <w:pPr>
        <w:pStyle w:val="ParagraphText"/>
        <w:ind w:firstLine="0"/>
      </w:pPr>
    </w:p>
    <w:p w14:paraId="7EFF5732" w14:textId="0DC8CFF9" w:rsidR="00D90B97" w:rsidRPr="003E64F4" w:rsidRDefault="00B36F8E" w:rsidP="00B36F8E">
      <w:pPr>
        <w:pStyle w:val="H1"/>
        <w:rPr>
          <w:szCs w:val="24"/>
        </w:rPr>
      </w:pPr>
      <w:r w:rsidRPr="003E64F4">
        <w:rPr>
          <w:szCs w:val="24"/>
        </w:rPr>
        <w:lastRenderedPageBreak/>
        <w:t>1. Introduction</w:t>
      </w:r>
    </w:p>
    <w:p w14:paraId="2571F588" w14:textId="75830E87" w:rsidR="00F52648" w:rsidRPr="00A7589B" w:rsidRDefault="00F52648" w:rsidP="00A7589B">
      <w:pPr>
        <w:pStyle w:val="ParagraphText"/>
      </w:pPr>
      <w:r>
        <w:rPr>
          <w:szCs w:val="24"/>
        </w:rPr>
        <w:t xml:space="preserve">Human activities, </w:t>
      </w:r>
      <w:r w:rsidR="00C261E5">
        <w:rPr>
          <w:szCs w:val="24"/>
        </w:rPr>
        <w:t xml:space="preserve">such as </w:t>
      </w:r>
      <w:r w:rsidRPr="00F52648">
        <w:rPr>
          <w:szCs w:val="24"/>
        </w:rPr>
        <w:t>shipping</w:t>
      </w:r>
      <w:r w:rsidR="0076348B">
        <w:rPr>
          <w:szCs w:val="24"/>
        </w:rPr>
        <w:t xml:space="preserve"> (e.g., </w:t>
      </w:r>
      <w:proofErr w:type="spellStart"/>
      <w:r w:rsidR="0076348B" w:rsidRPr="00F52648">
        <w:rPr>
          <w:szCs w:val="24"/>
        </w:rPr>
        <w:t>Eguíluz</w:t>
      </w:r>
      <w:proofErr w:type="spellEnd"/>
      <w:r w:rsidR="0076348B" w:rsidRPr="00F52648">
        <w:rPr>
          <w:szCs w:val="24"/>
        </w:rPr>
        <w:t xml:space="preserve"> et al. 2016</w:t>
      </w:r>
      <w:r w:rsidR="0076348B">
        <w:rPr>
          <w:szCs w:val="24"/>
        </w:rPr>
        <w:t>; Melia et al. 2016, 2017</w:t>
      </w:r>
      <w:r w:rsidR="003C4830">
        <w:rPr>
          <w:szCs w:val="24"/>
        </w:rPr>
        <w:t xml:space="preserve">; </w:t>
      </w:r>
      <w:proofErr w:type="spellStart"/>
      <w:r w:rsidR="003C4830">
        <w:rPr>
          <w:szCs w:val="24"/>
        </w:rPr>
        <w:t>Yamagami</w:t>
      </w:r>
      <w:proofErr w:type="spellEnd"/>
      <w:r w:rsidR="003C4830">
        <w:rPr>
          <w:szCs w:val="24"/>
        </w:rPr>
        <w:t xml:space="preserve"> and </w:t>
      </w:r>
      <w:proofErr w:type="spellStart"/>
      <w:r w:rsidR="003C4830">
        <w:rPr>
          <w:szCs w:val="24"/>
        </w:rPr>
        <w:t>Matsueda</w:t>
      </w:r>
      <w:proofErr w:type="spellEnd"/>
      <w:r w:rsidR="003C4830">
        <w:rPr>
          <w:szCs w:val="24"/>
        </w:rPr>
        <w:t xml:space="preserve"> 2021</w:t>
      </w:r>
      <w:r w:rsidR="0076348B">
        <w:rPr>
          <w:szCs w:val="24"/>
        </w:rPr>
        <w:t>)</w:t>
      </w:r>
      <w:r w:rsidRPr="00F52648">
        <w:rPr>
          <w:szCs w:val="24"/>
        </w:rPr>
        <w:t>, tourism</w:t>
      </w:r>
      <w:r w:rsidR="0076348B">
        <w:rPr>
          <w:szCs w:val="24"/>
        </w:rPr>
        <w:t xml:space="preserve"> (</w:t>
      </w:r>
      <w:r w:rsidR="0076348B" w:rsidRPr="00F52648">
        <w:rPr>
          <w:szCs w:val="24"/>
        </w:rPr>
        <w:t>e.g., Hall and Saarinen 2010;</w:t>
      </w:r>
      <w:r w:rsidR="0076348B">
        <w:rPr>
          <w:szCs w:val="24"/>
        </w:rPr>
        <w:t xml:space="preserve"> </w:t>
      </w:r>
      <w:r w:rsidR="0076348B" w:rsidRPr="00F52648">
        <w:rPr>
          <w:szCs w:val="24"/>
        </w:rPr>
        <w:t>Maher 2017</w:t>
      </w:r>
      <w:r w:rsidR="0076348B">
        <w:rPr>
          <w:szCs w:val="24"/>
        </w:rPr>
        <w:t>)</w:t>
      </w:r>
      <w:r w:rsidRPr="00F52648">
        <w:rPr>
          <w:szCs w:val="24"/>
        </w:rPr>
        <w:t>, and military operations</w:t>
      </w:r>
      <w:r w:rsidR="0076348B">
        <w:rPr>
          <w:szCs w:val="24"/>
        </w:rPr>
        <w:t xml:space="preserve"> (e.g.,</w:t>
      </w:r>
      <w:r w:rsidR="0076348B" w:rsidRPr="0076348B">
        <w:rPr>
          <w:szCs w:val="24"/>
        </w:rPr>
        <w:t xml:space="preserve"> </w:t>
      </w:r>
      <w:r w:rsidR="0076348B" w:rsidRPr="00F52648">
        <w:rPr>
          <w:szCs w:val="24"/>
        </w:rPr>
        <w:t>U.S. Department of the Navy 2021</w:t>
      </w:r>
      <w:r w:rsidR="0076348B">
        <w:rPr>
          <w:szCs w:val="24"/>
        </w:rPr>
        <w:t>), are increasing in the Arctic</w:t>
      </w:r>
      <w:r w:rsidRPr="00F52648">
        <w:rPr>
          <w:szCs w:val="24"/>
        </w:rPr>
        <w:t>.</w:t>
      </w:r>
      <w:r w:rsidRPr="00F52648">
        <w:t xml:space="preserve"> </w:t>
      </w:r>
      <w:r w:rsidR="00000FE6">
        <w:t>These human activities may</w:t>
      </w:r>
      <w:r>
        <w:t xml:space="preserve"> be </w:t>
      </w:r>
      <w:r w:rsidR="00000FE6">
        <w:t xml:space="preserve">adversely </w:t>
      </w:r>
      <w:r>
        <w:t>impacted by</w:t>
      </w:r>
      <w:r w:rsidR="00E91EE0">
        <w:t xml:space="preserve"> hazardous</w:t>
      </w:r>
      <w:r>
        <w:t xml:space="preserve"> weath</w:t>
      </w:r>
      <w:r w:rsidR="00024949">
        <w:t>er conditions in the Arctic</w:t>
      </w:r>
      <w:r w:rsidR="00000FE6">
        <w:t xml:space="preserve">, </w:t>
      </w:r>
      <w:r w:rsidR="00AD44D5">
        <w:t>such that</w:t>
      </w:r>
      <w:r w:rsidR="00000FE6">
        <w:t xml:space="preserve"> accurate weather prediction over the Arctic is </w:t>
      </w:r>
      <w:r w:rsidR="00960B50">
        <w:t xml:space="preserve">increasingly </w:t>
      </w:r>
      <w:r w:rsidR="00000FE6">
        <w:t>important</w:t>
      </w:r>
      <w:r w:rsidR="001A743A">
        <w:t>.</w:t>
      </w:r>
      <w:r w:rsidR="00DA7BCF">
        <w:t xml:space="preserve"> </w:t>
      </w:r>
      <w:r w:rsidR="00024949">
        <w:t>Although p</w:t>
      </w:r>
      <w:r w:rsidR="00E64753">
        <w:t>revious studies have evaluated the</w:t>
      </w:r>
      <w:r w:rsidRPr="00CA5B9F">
        <w:t xml:space="preserve"> </w:t>
      </w:r>
      <w:r w:rsidRPr="00777238">
        <w:t xml:space="preserve">forecast skill of the synoptic-scale flow over </w:t>
      </w:r>
      <w:r>
        <w:t xml:space="preserve">the Arctic </w:t>
      </w:r>
      <w:r w:rsidR="00DD293A">
        <w:t>based on forecasts of</w:t>
      </w:r>
      <w:r w:rsidR="00DD293A">
        <w:rPr>
          <w:szCs w:val="24"/>
          <w:lang w:eastAsia="en-IN"/>
        </w:rPr>
        <w:t xml:space="preserve"> 500-hPa geopotential height </w:t>
      </w:r>
      <w:r>
        <w:t xml:space="preserve">(e.g., </w:t>
      </w:r>
      <w:r w:rsidR="00A7589B">
        <w:t xml:space="preserve">Jung and </w:t>
      </w:r>
      <w:proofErr w:type="spellStart"/>
      <w:r w:rsidR="00A7589B">
        <w:t>Leutbecher</w:t>
      </w:r>
      <w:proofErr w:type="spellEnd"/>
      <w:r w:rsidR="00A7589B">
        <w:t xml:space="preserve"> 2007; Bauer et al. 2016; </w:t>
      </w:r>
      <w:r>
        <w:t xml:space="preserve">Jung and </w:t>
      </w:r>
      <w:proofErr w:type="spellStart"/>
      <w:r>
        <w:t>Matsu</w:t>
      </w:r>
      <w:r w:rsidR="00024949">
        <w:t>eda</w:t>
      </w:r>
      <w:proofErr w:type="spellEnd"/>
      <w:r w:rsidR="00024949">
        <w:t xml:space="preserve"> 2016; </w:t>
      </w:r>
      <w:proofErr w:type="spellStart"/>
      <w:r w:rsidR="00024949">
        <w:t>Sandu</w:t>
      </w:r>
      <w:proofErr w:type="spellEnd"/>
      <w:r w:rsidR="00024949">
        <w:t xml:space="preserve"> and Bauer 2018)</w:t>
      </w:r>
      <w:r>
        <w:t>, there</w:t>
      </w:r>
      <w:r w:rsidRPr="00777238">
        <w:t xml:space="preserve"> has been a dearth of research </w:t>
      </w:r>
      <w:r>
        <w:t xml:space="preserve">that has examined Arctic environmental conditions associated with </w:t>
      </w:r>
      <w:r w:rsidR="00021BEF">
        <w:t xml:space="preserve">periods of low and high forecast skill of the synoptic-scale flow over the Arctic, </w:t>
      </w:r>
      <w:r>
        <w:t>with the exception of a</w:t>
      </w:r>
      <w:r w:rsidRPr="00777238">
        <w:t xml:space="preserve"> recent study by </w:t>
      </w:r>
      <w:proofErr w:type="spellStart"/>
      <w:r w:rsidRPr="00777238">
        <w:t>Yamagami</w:t>
      </w:r>
      <w:proofErr w:type="spellEnd"/>
      <w:r w:rsidRPr="00777238">
        <w:t xml:space="preserve"> and </w:t>
      </w:r>
      <w:proofErr w:type="spellStart"/>
      <w:r w:rsidRPr="00777238">
        <w:t>Matsueda</w:t>
      </w:r>
      <w:proofErr w:type="spellEnd"/>
      <w:r w:rsidRPr="00777238">
        <w:t xml:space="preserve"> (2021).</w:t>
      </w:r>
      <w:r w:rsidRPr="00F52648">
        <w:t xml:space="preserve"> </w:t>
      </w:r>
      <w:r>
        <w:t xml:space="preserve">In the present study, Arctic environmental conditions refer to the state of the troposphere in the Arctic described in terms of the synoptic-scale flow configuration, horizontal and vertical motions, baroclinicity, moisture, and latent heating. </w:t>
      </w:r>
    </w:p>
    <w:p w14:paraId="31ED1BFB" w14:textId="0EF9FB40" w:rsidR="00F52648" w:rsidRDefault="00F52648" w:rsidP="009C4408">
      <w:pPr>
        <w:pStyle w:val="ParagraphText"/>
      </w:pPr>
      <w:proofErr w:type="spellStart"/>
      <w:r>
        <w:t>Yamagami</w:t>
      </w:r>
      <w:proofErr w:type="spellEnd"/>
      <w:r>
        <w:t xml:space="preserve"> and </w:t>
      </w:r>
      <w:proofErr w:type="spellStart"/>
      <w:r>
        <w:t>Matsueda</w:t>
      </w:r>
      <w:proofErr w:type="spellEnd"/>
      <w:r>
        <w:t xml:space="preserve"> (2021) </w:t>
      </w:r>
      <w:r w:rsidRPr="005D4C7D">
        <w:t>examine Arctic weather pa</w:t>
      </w:r>
      <w:r>
        <w:t>tterns associated with forecast</w:t>
      </w:r>
      <w:r w:rsidRPr="005D4C7D">
        <w:t xml:space="preserve"> busts </w:t>
      </w:r>
      <w:r w:rsidR="00DD293A">
        <w:t xml:space="preserve">over the Arctic </w:t>
      </w:r>
      <w:r w:rsidR="000A1733">
        <w:t>during summer</w:t>
      </w:r>
      <w:r w:rsidR="000160E4">
        <w:t>. They define</w:t>
      </w:r>
      <w:r w:rsidR="0013369A">
        <w:t xml:space="preserve"> </w:t>
      </w:r>
      <w:r w:rsidR="000160E4">
        <w:t xml:space="preserve">forecast busts as </w:t>
      </w:r>
      <w:r w:rsidR="00660BEE">
        <w:t>very poor forecasts based on the anomaly correlation coefficient</w:t>
      </w:r>
      <w:r w:rsidR="0076590B">
        <w:t xml:space="preserve"> </w:t>
      </w:r>
      <w:r w:rsidR="00660BEE">
        <w:t>and root mean square error (RMSE</w:t>
      </w:r>
      <w:r w:rsidR="0076590B">
        <w:t>)</w:t>
      </w:r>
      <w:r w:rsidR="00660BEE">
        <w:t xml:space="preserve"> of 500-hPa geopotential height over the Arctic at a 144-h forecast lead time. They</w:t>
      </w:r>
      <w:r>
        <w:t xml:space="preserve"> find</w:t>
      </w:r>
      <w:r w:rsidR="00C7487C">
        <w:t xml:space="preserve"> that one of the more</w:t>
      </w:r>
      <w:r w:rsidRPr="005D4C7D">
        <w:t xml:space="preserve"> frequent </w:t>
      </w:r>
      <w:r>
        <w:t xml:space="preserve">Arctic weather </w:t>
      </w:r>
      <w:r w:rsidRPr="005D4C7D">
        <w:t xml:space="preserve">patterns is referred to </w:t>
      </w:r>
      <w:r>
        <w:t>as the “Arctic Cyclone</w:t>
      </w:r>
      <w:r w:rsidR="00D82E68">
        <w:t xml:space="preserve"> (AC)</w:t>
      </w:r>
      <w:r>
        <w:t>” pattern</w:t>
      </w:r>
      <w:r w:rsidR="008C08C1">
        <w:t xml:space="preserve">, </w:t>
      </w:r>
      <w:r w:rsidR="008C08C1" w:rsidRPr="005D4C7D">
        <w:t>which is characterized by anomalously low 500-</w:t>
      </w:r>
      <w:r w:rsidR="008C08C1">
        <w:t>hPa geopotential height and sea level pressure (SLP)</w:t>
      </w:r>
      <w:r w:rsidR="008C08C1" w:rsidRPr="005D4C7D">
        <w:t xml:space="preserve"> over the A</w:t>
      </w:r>
      <w:r w:rsidR="008C08C1">
        <w:t>rctic</w:t>
      </w:r>
      <w:r>
        <w:t xml:space="preserve">. </w:t>
      </w:r>
      <w:r w:rsidR="003A2D5E">
        <w:t>They</w:t>
      </w:r>
      <w:r w:rsidRPr="00F52648">
        <w:t xml:space="preserve"> suggest that </w:t>
      </w:r>
      <w:r w:rsidR="00AE533F">
        <w:t xml:space="preserve">some </w:t>
      </w:r>
      <w:r w:rsidRPr="00F52648">
        <w:t xml:space="preserve">forecast busts over the Arctic during summer may be linked to forecast errors in </w:t>
      </w:r>
      <w:r w:rsidR="00021BEF">
        <w:t xml:space="preserve">the intensity and position of </w:t>
      </w:r>
      <w:r w:rsidR="00BC5100">
        <w:t>ACs</w:t>
      </w:r>
      <w:r w:rsidRPr="00F52648">
        <w:t>.</w:t>
      </w:r>
      <w:r>
        <w:t xml:space="preserve"> </w:t>
      </w:r>
      <w:r w:rsidR="000A1733">
        <w:t xml:space="preserve">ACs </w:t>
      </w:r>
      <w:r w:rsidRPr="008F26A8">
        <w:t xml:space="preserve">are </w:t>
      </w:r>
      <w:r w:rsidR="00AD7DA9">
        <w:t>extratropical</w:t>
      </w:r>
      <w:r>
        <w:t xml:space="preserve"> cyclones</w:t>
      </w:r>
      <w:r w:rsidRPr="008F26A8">
        <w:t xml:space="preserve"> </w:t>
      </w:r>
      <w:r w:rsidRPr="007A63F9">
        <w:t xml:space="preserve">that </w:t>
      </w:r>
      <w:r w:rsidR="00021BEF">
        <w:t>o</w:t>
      </w:r>
      <w:r w:rsidRPr="007A63F9">
        <w:t xml:space="preserve">riginate within the Arctic or move into the Arctic from lower latitudes (e.g., Serreze 1995; Zhang et al. 2004; </w:t>
      </w:r>
      <w:r>
        <w:t xml:space="preserve">Serreze and Barrett 2008; </w:t>
      </w:r>
      <w:r w:rsidRPr="007A63F9">
        <w:t xml:space="preserve">Simmonds and </w:t>
      </w:r>
      <w:proofErr w:type="spellStart"/>
      <w:r w:rsidRPr="007A63F9">
        <w:t>Rudeva</w:t>
      </w:r>
      <w:proofErr w:type="spellEnd"/>
      <w:r w:rsidRPr="007A63F9">
        <w:t xml:space="preserve"> 2012, 2014; Crawford and Serreze 2016; </w:t>
      </w:r>
      <w:proofErr w:type="spellStart"/>
      <w:r w:rsidRPr="007A63F9">
        <w:t>Valkonen</w:t>
      </w:r>
      <w:proofErr w:type="spellEnd"/>
      <w:r w:rsidRPr="007A63F9">
        <w:t xml:space="preserve"> et al. 2021)</w:t>
      </w:r>
      <w:r>
        <w:t xml:space="preserve">. </w:t>
      </w:r>
      <w:r w:rsidR="00054486">
        <w:t>There are</w:t>
      </w:r>
      <w:r w:rsidR="00F71163">
        <w:t xml:space="preserve"> </w:t>
      </w:r>
      <w:r w:rsidR="001F0684">
        <w:t>regional differences in</w:t>
      </w:r>
      <w:r w:rsidR="00054486">
        <w:t xml:space="preserve"> the</w:t>
      </w:r>
      <w:r w:rsidR="001F0684">
        <w:t xml:space="preserve"> frequenc</w:t>
      </w:r>
      <w:r w:rsidR="00054486">
        <w:t>ies</w:t>
      </w:r>
      <w:r w:rsidR="00F71163">
        <w:t xml:space="preserve"> </w:t>
      </w:r>
      <w:r w:rsidR="00054486">
        <w:t xml:space="preserve">of ACs </w:t>
      </w:r>
      <w:r w:rsidR="00F71163">
        <w:t>between winter and summer</w:t>
      </w:r>
      <w:r w:rsidR="001F0684">
        <w:t>, with</w:t>
      </w:r>
      <w:r w:rsidR="00F71163">
        <w:t xml:space="preserve"> relatively high </w:t>
      </w:r>
      <w:r w:rsidR="001F0684">
        <w:t>frequencies of</w:t>
      </w:r>
      <w:r w:rsidR="00F71163">
        <w:t xml:space="preserve"> ACs over the </w:t>
      </w:r>
      <w:r w:rsidR="00054486">
        <w:t xml:space="preserve">North Atlantic side of the Arctic </w:t>
      </w:r>
      <w:r w:rsidR="00F71163">
        <w:t>during winter</w:t>
      </w:r>
      <w:r w:rsidR="00054486">
        <w:t>,</w:t>
      </w:r>
      <w:r w:rsidR="00F71163">
        <w:t xml:space="preserve"> and over</w:t>
      </w:r>
      <w:r w:rsidR="00054486">
        <w:t xml:space="preserve"> the Eurasian side of the Arctic</w:t>
      </w:r>
      <w:r w:rsidR="00F71163">
        <w:t xml:space="preserve"> and the central Arctic Ocean during summer (e.g., Serreze and Barret 2008; Crawford and Serreze 2016).</w:t>
      </w:r>
      <w:r w:rsidR="00F71163" w:rsidRPr="009C4408">
        <w:rPr>
          <w:szCs w:val="24"/>
          <w:lang w:eastAsia="en-IN"/>
        </w:rPr>
        <w:t xml:space="preserve"> </w:t>
      </w:r>
      <w:r>
        <w:t xml:space="preserve">ACs </w:t>
      </w:r>
      <w:r w:rsidR="00AD7DA9">
        <w:t>may be associated with strong surface winds and high waves (e.g., Zhang et al. 2013; Thomson and Rogers 2014), and may contr</w:t>
      </w:r>
      <w:r w:rsidR="000A1733">
        <w:t xml:space="preserve">ibute to rapid sea ice loss </w:t>
      </w:r>
      <w:r w:rsidR="00AD7DA9">
        <w:t xml:space="preserve">(e.g., </w:t>
      </w:r>
      <w:proofErr w:type="spellStart"/>
      <w:r w:rsidR="00AD7DA9">
        <w:t>Asplin</w:t>
      </w:r>
      <w:proofErr w:type="spellEnd"/>
      <w:r w:rsidR="00AD7DA9">
        <w:t xml:space="preserve"> et al. 2012; </w:t>
      </w:r>
      <w:r w:rsidR="000A1733">
        <w:t xml:space="preserve">Zhang et al. 2013; </w:t>
      </w:r>
      <w:r w:rsidR="00AD7DA9">
        <w:t xml:space="preserve">Stern et al. 2020; Peng et al. </w:t>
      </w:r>
      <w:r w:rsidR="00AD7DA9">
        <w:lastRenderedPageBreak/>
        <w:t>2021).</w:t>
      </w:r>
      <w:r w:rsidR="00F71163">
        <w:t xml:space="preserve"> </w:t>
      </w:r>
      <w:r w:rsidR="009C4408" w:rsidRPr="009C4408">
        <w:t>Since ACs may influence</w:t>
      </w:r>
      <w:r w:rsidR="00BC5100">
        <w:t xml:space="preserve"> the</w:t>
      </w:r>
      <w:r w:rsidR="009C4408" w:rsidRPr="009C4408">
        <w:t xml:space="preserve"> forecast skill of</w:t>
      </w:r>
      <w:r w:rsidR="009C4408">
        <w:t xml:space="preserve"> </w:t>
      </w:r>
      <w:r w:rsidR="009C4408" w:rsidRPr="009C4408">
        <w:t xml:space="preserve">the synoptic-scale flow over the Arctic, it </w:t>
      </w:r>
      <w:r w:rsidR="00017F08">
        <w:t>is of interest to</w:t>
      </w:r>
      <w:r w:rsidR="009C4408" w:rsidRPr="009C4408">
        <w:t xml:space="preserve"> understand how the frequency</w:t>
      </w:r>
      <w:r w:rsidR="009C4408">
        <w:t xml:space="preserve"> </w:t>
      </w:r>
      <w:r w:rsidR="009C4408" w:rsidRPr="009C4408">
        <w:t xml:space="preserve">of ACs, </w:t>
      </w:r>
      <w:r w:rsidR="009C4408">
        <w:t>characteristics of ACs, and forecast skill of ACs</w:t>
      </w:r>
      <w:r w:rsidR="009C4408" w:rsidRPr="009C4408">
        <w:t xml:space="preserve"> compare between </w:t>
      </w:r>
      <w:bookmarkStart w:id="0" w:name="OLE_LINK1"/>
      <w:bookmarkStart w:id="1" w:name="OLE_LINK2"/>
      <w:r w:rsidR="00021BEF">
        <w:t xml:space="preserve">periods of low and high forecast skill of the synoptic-scale flow over the Arctic, hereafter referred to as low-skill </w:t>
      </w:r>
      <w:r w:rsidR="00A01D26">
        <w:t xml:space="preserve">periods </w:t>
      </w:r>
      <w:r w:rsidR="00021BEF">
        <w:t xml:space="preserve">and high-skill periods, </w:t>
      </w:r>
      <w:bookmarkEnd w:id="0"/>
      <w:bookmarkEnd w:id="1"/>
      <w:r w:rsidR="00021BEF">
        <w:t>respectively</w:t>
      </w:r>
      <w:r w:rsidR="009C4408" w:rsidRPr="009C4408">
        <w:t>.</w:t>
      </w:r>
    </w:p>
    <w:p w14:paraId="4568D9F6" w14:textId="34672FAF" w:rsidR="005476FC" w:rsidRDefault="00477B93" w:rsidP="009C4408">
      <w:pPr>
        <w:pStyle w:val="ParagraphText"/>
      </w:pPr>
      <w:r>
        <w:t>Various f</w:t>
      </w:r>
      <w:r w:rsidR="009C03A6">
        <w:t xml:space="preserve">eatures and processes </w:t>
      </w:r>
      <w:r>
        <w:t>may influence</w:t>
      </w:r>
      <w:r w:rsidR="009C4408">
        <w:t xml:space="preserve"> the develop</w:t>
      </w:r>
      <w:r>
        <w:t xml:space="preserve">ment and intensification of ACs. </w:t>
      </w:r>
      <w:r w:rsidR="00AD7DA9">
        <w:t>Tropopause polar vortices</w:t>
      </w:r>
      <w:r w:rsidR="007F17CB">
        <w:t xml:space="preserve"> (TPVs)</w:t>
      </w:r>
      <w:r w:rsidR="00AD7DA9">
        <w:t xml:space="preserve"> (e.g.,</w:t>
      </w:r>
      <w:r w:rsidR="00AD7DA9" w:rsidRPr="00DE779D">
        <w:t xml:space="preserve"> </w:t>
      </w:r>
      <w:r w:rsidR="00AD7DA9">
        <w:t xml:space="preserve">Simmonds and </w:t>
      </w:r>
      <w:proofErr w:type="spellStart"/>
      <w:r w:rsidR="00AD7DA9">
        <w:t>Rudeva</w:t>
      </w:r>
      <w:proofErr w:type="spellEnd"/>
      <w:r w:rsidR="00AD7DA9">
        <w:t xml:space="preserve"> 2012;</w:t>
      </w:r>
      <w:r w:rsidR="00453B2C" w:rsidRPr="00453B2C">
        <w:t xml:space="preserve"> </w:t>
      </w:r>
      <w:r w:rsidR="00AD7DA9" w:rsidRPr="007A63F9">
        <w:t>Tao et al. 2017</w:t>
      </w:r>
      <w:proofErr w:type="gramStart"/>
      <w:r w:rsidR="00AD7DA9" w:rsidRPr="007A63F9">
        <w:t>a,b</w:t>
      </w:r>
      <w:proofErr w:type="gramEnd"/>
      <w:r w:rsidR="00AD7DA9">
        <w:t xml:space="preserve">; </w:t>
      </w:r>
      <w:proofErr w:type="spellStart"/>
      <w:r w:rsidR="00AD7DA9">
        <w:t>Yamagami</w:t>
      </w:r>
      <w:proofErr w:type="spellEnd"/>
      <w:r w:rsidR="00AD7DA9">
        <w:t xml:space="preserve"> et al. 2017) and baroclinic processes (e.g., </w:t>
      </w:r>
      <w:r w:rsidR="00453B2C">
        <w:t xml:space="preserve">Aizawa et al. 2014; </w:t>
      </w:r>
      <w:r w:rsidR="00AD7DA9">
        <w:t xml:space="preserve">Tao et al. 2017a,b; </w:t>
      </w:r>
      <w:proofErr w:type="spellStart"/>
      <w:r w:rsidR="00AD7DA9">
        <w:t>Yamagami</w:t>
      </w:r>
      <w:proofErr w:type="spellEnd"/>
      <w:r w:rsidR="00AD7DA9">
        <w:t xml:space="preserve"> et al. 2017)</w:t>
      </w:r>
      <w:r w:rsidR="007F17CB">
        <w:t xml:space="preserve"> have been shown to</w:t>
      </w:r>
      <w:r w:rsidR="00AD7DA9">
        <w:t xml:space="preserve"> </w:t>
      </w:r>
      <w:r w:rsidR="006F2BA0">
        <w:t>play important roles in</w:t>
      </w:r>
      <w:r w:rsidR="00097AD0">
        <w:t xml:space="preserve"> </w:t>
      </w:r>
      <w:r w:rsidR="00066B74">
        <w:t xml:space="preserve">the </w:t>
      </w:r>
      <w:r w:rsidR="00AD7DA9">
        <w:t>development and intensification</w:t>
      </w:r>
      <w:r w:rsidR="00097AD0">
        <w:t xml:space="preserve"> of ACs</w:t>
      </w:r>
      <w:r w:rsidR="00AD7DA9">
        <w:t xml:space="preserve">. </w:t>
      </w:r>
      <w:r w:rsidR="007F17CB">
        <w:t>TPVs are coherent tropopause-based cyclonic vortices that are characterized by a local</w:t>
      </w:r>
      <w:r w:rsidR="000A1733">
        <w:t xml:space="preserve"> minimum of dynamic tropopause </w:t>
      </w:r>
      <w:r w:rsidR="007F17CB">
        <w:t>potential temperat</w:t>
      </w:r>
      <w:r w:rsidR="005476FC">
        <w:t>ure and a</w:t>
      </w:r>
      <w:r w:rsidR="007F17CB">
        <w:t xml:space="preserve"> cyclonic po</w:t>
      </w:r>
      <w:r w:rsidR="00B84FBE">
        <w:t>tential vorticity</w:t>
      </w:r>
      <w:r w:rsidR="007F4154">
        <w:t xml:space="preserve"> (PV)</w:t>
      </w:r>
      <w:r w:rsidR="00B84FBE">
        <w:t xml:space="preserve"> </w:t>
      </w:r>
      <w:r w:rsidR="005476FC">
        <w:t>anomaly</w:t>
      </w:r>
      <w:r w:rsidR="009E7473">
        <w:t xml:space="preserve"> (e.g., Cavallo and Hakim 2009,</w:t>
      </w:r>
      <w:r w:rsidR="00C01674">
        <w:t xml:space="preserve"> </w:t>
      </w:r>
      <w:r w:rsidR="009E7473">
        <w:t>2010</w:t>
      </w:r>
      <w:r w:rsidR="00C01674">
        <w:t>, 2012</w:t>
      </w:r>
      <w:r w:rsidR="009E7473">
        <w:t xml:space="preserve">). </w:t>
      </w:r>
      <w:r w:rsidR="005476FC" w:rsidRPr="007A63F9">
        <w:t xml:space="preserve">Hoskins et al. </w:t>
      </w:r>
      <w:r w:rsidR="005476FC">
        <w:t xml:space="preserve">(1985, section 6e) show that an upper-tropospheric cyclonic PV anomaly (e.g., a </w:t>
      </w:r>
      <w:r w:rsidR="005476FC" w:rsidRPr="007A63F9">
        <w:t>TPV) moving over a baroclinic zone can lead to the development of a lower-tropospheric cyclonic PV anomaly</w:t>
      </w:r>
      <w:r w:rsidR="005476FC">
        <w:t xml:space="preserve"> (e.g., a surface cyclone), </w:t>
      </w:r>
      <w:r w:rsidR="005476FC" w:rsidRPr="007A63F9">
        <w:t>and</w:t>
      </w:r>
      <w:r w:rsidR="005476FC">
        <w:t xml:space="preserve"> further show that</w:t>
      </w:r>
      <w:r w:rsidR="005476FC" w:rsidRPr="007A63F9">
        <w:t xml:space="preserve"> these PV anomalies can become phase-locked an</w:t>
      </w:r>
      <w:r w:rsidR="005476FC">
        <w:t xml:space="preserve">d mutually amplify one another. </w:t>
      </w:r>
      <w:r w:rsidR="00522349">
        <w:t>Two notable examples of ACs in the literature for which TPVs and baroclinic processes have been show</w:t>
      </w:r>
      <w:r w:rsidR="008237F7">
        <w:t>n</w:t>
      </w:r>
      <w:r w:rsidR="00522349">
        <w:t xml:space="preserve"> to play important roles in the development and intensification of ACs are a</w:t>
      </w:r>
      <w:r w:rsidR="007F17CB">
        <w:t xml:space="preserve"> strong AC that occurred during August 2012, hereafter referred to as AC12 </w:t>
      </w:r>
      <w:r w:rsidR="007F17CB" w:rsidRPr="007A63F9">
        <w:t xml:space="preserve">(e.g., Simmonds and </w:t>
      </w:r>
      <w:proofErr w:type="spellStart"/>
      <w:r w:rsidR="007F17CB" w:rsidRPr="007A63F9">
        <w:t>Rudeva</w:t>
      </w:r>
      <w:proofErr w:type="spellEnd"/>
      <w:r w:rsidR="007F17CB" w:rsidRPr="007A63F9">
        <w:t xml:space="preserve"> 2012; Tao et </w:t>
      </w:r>
      <w:r w:rsidR="00B84FBE">
        <w:t>al. 2017b</w:t>
      </w:r>
      <w:r w:rsidR="007F17CB">
        <w:t>), and a strong AC th</w:t>
      </w:r>
      <w:r w:rsidR="000A1733">
        <w:t>at occurred during August 2016</w:t>
      </w:r>
      <w:r w:rsidR="00553508">
        <w:t>, hereafter referred to as AC16</w:t>
      </w:r>
      <w:r w:rsidR="000A1733">
        <w:t xml:space="preserve"> </w:t>
      </w:r>
      <w:r w:rsidR="00522349">
        <w:t>(</w:t>
      </w:r>
      <w:proofErr w:type="spellStart"/>
      <w:r w:rsidR="00522349">
        <w:t>Yamagami</w:t>
      </w:r>
      <w:proofErr w:type="spellEnd"/>
      <w:r w:rsidR="00522349">
        <w:t xml:space="preserve"> et al. 2017). </w:t>
      </w:r>
      <w:r w:rsidR="009B560C">
        <w:t xml:space="preserve">Tao et al. (2017b) show that the interaction of a TPV with an upper-tropospheric jet streak contributes to the intensification of the jet streak, and that upper-tropospheric divergence associated with the upper-tropospheric jet streak supports the development of AC12. </w:t>
      </w:r>
      <w:r w:rsidR="00522349">
        <w:t xml:space="preserve">Both AC12 and AC16 </w:t>
      </w:r>
      <w:r w:rsidR="007F17CB">
        <w:t xml:space="preserve">have been shown to develop and intensify </w:t>
      </w:r>
      <w:proofErr w:type="spellStart"/>
      <w:r w:rsidR="007F17CB">
        <w:t>downshear</w:t>
      </w:r>
      <w:proofErr w:type="spellEnd"/>
      <w:r w:rsidR="007F17CB">
        <w:t xml:space="preserve"> of </w:t>
      </w:r>
      <w:r w:rsidR="009E7473">
        <w:t>TPV</w:t>
      </w:r>
      <w:r w:rsidR="009C6E18">
        <w:t>s</w:t>
      </w:r>
      <w:r w:rsidR="007F17CB">
        <w:t xml:space="preserve"> in baroclinic zones associated with </w:t>
      </w:r>
      <w:r w:rsidR="007F17CB" w:rsidRPr="007A63F9">
        <w:t>high</w:t>
      </w:r>
      <w:r w:rsidR="009C6E18">
        <w:t xml:space="preserve"> values of</w:t>
      </w:r>
      <w:r w:rsidR="00FC7843">
        <w:t xml:space="preserve"> EGR</w:t>
      </w:r>
      <w:r w:rsidR="00C60C31">
        <w:t xml:space="preserve"> </w:t>
      </w:r>
      <w:r w:rsidR="009870F3">
        <w:t>[</w:t>
      </w:r>
      <w:r w:rsidR="00C60C31">
        <w:t>AC12</w:t>
      </w:r>
      <w:r w:rsidR="009870F3">
        <w:t xml:space="preserve"> (</w:t>
      </w:r>
      <w:r w:rsidR="006B0311">
        <w:t xml:space="preserve">e.g., </w:t>
      </w:r>
      <w:r w:rsidR="00021BEF" w:rsidRPr="007A63F9">
        <w:t xml:space="preserve">Simmonds and </w:t>
      </w:r>
      <w:proofErr w:type="spellStart"/>
      <w:r w:rsidR="00021BEF" w:rsidRPr="007A63F9">
        <w:t>Rudeva</w:t>
      </w:r>
      <w:proofErr w:type="spellEnd"/>
      <w:r w:rsidR="00021BEF" w:rsidRPr="007A63F9">
        <w:t xml:space="preserve"> 2012; Tao et </w:t>
      </w:r>
      <w:r w:rsidR="00021BEF">
        <w:t>al. 2017b</w:t>
      </w:r>
      <w:r w:rsidR="009870F3">
        <w:t>)</w:t>
      </w:r>
      <w:r w:rsidR="00A257CC">
        <w:t xml:space="preserve">; </w:t>
      </w:r>
      <w:r w:rsidR="00C51799">
        <w:t>AC16</w:t>
      </w:r>
      <w:r w:rsidR="009870F3">
        <w:t xml:space="preserve"> (</w:t>
      </w:r>
      <w:proofErr w:type="spellStart"/>
      <w:r w:rsidR="00021BEF">
        <w:t>Yamagami</w:t>
      </w:r>
      <w:proofErr w:type="spellEnd"/>
      <w:r w:rsidR="00021BEF">
        <w:t xml:space="preserve"> et al. 2017)</w:t>
      </w:r>
      <w:r w:rsidR="009870F3">
        <w:t>]</w:t>
      </w:r>
      <w:r w:rsidR="00021BEF">
        <w:t>.</w:t>
      </w:r>
      <w:r w:rsidR="00550D57">
        <w:t xml:space="preserve"> Furthermore, both AC12 and AC16 have been shown to contribute to rapid sea ice loss</w:t>
      </w:r>
      <w:r w:rsidR="00C60C31">
        <w:t xml:space="preserve"> </w:t>
      </w:r>
      <w:r w:rsidR="009870F3">
        <w:t>[</w:t>
      </w:r>
      <w:r w:rsidR="00C60C31">
        <w:t>AC12</w:t>
      </w:r>
      <w:r w:rsidR="009870F3">
        <w:t xml:space="preserve"> (</w:t>
      </w:r>
      <w:r w:rsidR="006B0311">
        <w:t>e.g., Zhang et al. 2013; Stern et al. 2020</w:t>
      </w:r>
      <w:r w:rsidR="009870F3">
        <w:t>)</w:t>
      </w:r>
      <w:r w:rsidR="00A257CC">
        <w:t>;</w:t>
      </w:r>
      <w:r w:rsidR="00C60C31">
        <w:t xml:space="preserve"> </w:t>
      </w:r>
      <w:r w:rsidR="00C51799">
        <w:t>AC16</w:t>
      </w:r>
      <w:r w:rsidR="009870F3">
        <w:t xml:space="preserve"> (</w:t>
      </w:r>
      <w:r w:rsidR="006B0311">
        <w:t>Peng et al. 2021)</w:t>
      </w:r>
      <w:r w:rsidR="009870F3">
        <w:t>]</w:t>
      </w:r>
      <w:r w:rsidR="00550D57">
        <w:t>.</w:t>
      </w:r>
      <w:r w:rsidR="007F17CB">
        <w:t xml:space="preserve"> </w:t>
      </w:r>
    </w:p>
    <w:p w14:paraId="5EE1ADD9" w14:textId="45C17B05" w:rsidR="00AD7DA9" w:rsidRDefault="00F81758" w:rsidP="00F52648">
      <w:pPr>
        <w:pStyle w:val="ParagraphText"/>
      </w:pPr>
      <w:r>
        <w:rPr>
          <w:szCs w:val="24"/>
          <w:lang w:eastAsia="en-IN"/>
        </w:rPr>
        <w:t xml:space="preserve">Latent heating may also </w:t>
      </w:r>
      <w:r w:rsidR="00097AD0">
        <w:rPr>
          <w:szCs w:val="24"/>
          <w:lang w:eastAsia="en-IN"/>
        </w:rPr>
        <w:t>influence</w:t>
      </w:r>
      <w:r>
        <w:rPr>
          <w:szCs w:val="24"/>
          <w:lang w:eastAsia="en-IN"/>
        </w:rPr>
        <w:t xml:space="preserve"> </w:t>
      </w:r>
      <w:r w:rsidR="00097AD0">
        <w:rPr>
          <w:szCs w:val="24"/>
          <w:lang w:eastAsia="en-IN"/>
        </w:rPr>
        <w:t>the development and intensification of ACs.</w:t>
      </w:r>
      <w:r>
        <w:rPr>
          <w:szCs w:val="24"/>
          <w:lang w:eastAsia="en-IN"/>
        </w:rPr>
        <w:t xml:space="preserve"> </w:t>
      </w:r>
      <w:r w:rsidR="005476FC" w:rsidRPr="007A63F9">
        <w:t>Latent heating</w:t>
      </w:r>
      <w:r w:rsidR="005476FC">
        <w:t xml:space="preserve"> </w:t>
      </w:r>
      <w:r w:rsidR="00B84FBE">
        <w:t xml:space="preserve">associated with the formation of clouds and precipitation </w:t>
      </w:r>
      <w:r w:rsidR="005476FC" w:rsidRPr="007A63F9">
        <w:t>has been shown to contribute to the development and intensification of midlatitude cyclones</w:t>
      </w:r>
      <w:r w:rsidR="005476FC">
        <w:t xml:space="preserve"> in numerous studies</w:t>
      </w:r>
      <w:r w:rsidR="005476FC" w:rsidRPr="007A63F9">
        <w:t xml:space="preserve"> (e.g., </w:t>
      </w:r>
      <w:proofErr w:type="spellStart"/>
      <w:r w:rsidR="005476FC" w:rsidRPr="007A63F9">
        <w:t>Tracton</w:t>
      </w:r>
      <w:proofErr w:type="spellEnd"/>
      <w:r w:rsidR="005476FC" w:rsidRPr="007A63F9">
        <w:t xml:space="preserve"> 1973; </w:t>
      </w:r>
      <w:proofErr w:type="spellStart"/>
      <w:r w:rsidR="005476FC">
        <w:t>Kuo</w:t>
      </w:r>
      <w:proofErr w:type="spellEnd"/>
      <w:r w:rsidR="005476FC">
        <w:t xml:space="preserve"> and Reed 1988; </w:t>
      </w:r>
      <w:r w:rsidR="005476FC" w:rsidRPr="007A63F9">
        <w:t xml:space="preserve">Reed et al. </w:t>
      </w:r>
      <w:r w:rsidR="005476FC">
        <w:t xml:space="preserve">1988, </w:t>
      </w:r>
      <w:r w:rsidR="005476FC" w:rsidRPr="007A63F9">
        <w:t xml:space="preserve">1992; Davis et al. 1993; </w:t>
      </w:r>
      <w:proofErr w:type="spellStart"/>
      <w:r w:rsidR="005476FC" w:rsidRPr="007A63F9">
        <w:t>Stoelinga</w:t>
      </w:r>
      <w:proofErr w:type="spellEnd"/>
      <w:r w:rsidR="005476FC" w:rsidRPr="007A63F9">
        <w:t xml:space="preserve"> </w:t>
      </w:r>
      <w:r w:rsidR="005476FC" w:rsidRPr="007A63F9">
        <w:lastRenderedPageBreak/>
        <w:t xml:space="preserve">1996; </w:t>
      </w:r>
      <w:proofErr w:type="spellStart"/>
      <w:r w:rsidR="005476FC" w:rsidRPr="007A63F9">
        <w:t>Wernli</w:t>
      </w:r>
      <w:proofErr w:type="spellEnd"/>
      <w:r w:rsidR="005476FC" w:rsidRPr="007A63F9">
        <w:t xml:space="preserve"> et al. 200</w:t>
      </w:r>
      <w:r w:rsidR="00B84FBE">
        <w:t>2</w:t>
      </w:r>
      <w:r w:rsidR="007C5DBF">
        <w:t xml:space="preserve">). However, there has been a dearth of research on the influence of latent heating on </w:t>
      </w:r>
      <w:r w:rsidR="00A24088">
        <w:t>the development and intensification of ACs</w:t>
      </w:r>
      <w:r w:rsidR="007C5DBF">
        <w:t>.</w:t>
      </w:r>
      <w:r w:rsidR="00B84FBE" w:rsidRPr="00B84FBE">
        <w:t xml:space="preserve"> </w:t>
      </w:r>
      <w:r w:rsidR="00A70179">
        <w:t>P</w:t>
      </w:r>
      <w:r w:rsidR="00DF0A9B">
        <w:t xml:space="preserve">revious studies have shown that </w:t>
      </w:r>
      <w:r w:rsidR="00097AD0">
        <w:t>ACs can be</w:t>
      </w:r>
      <w:r w:rsidR="00097AD0" w:rsidRPr="007A63F9">
        <w:t xml:space="preserve"> associated with intrusions of warm, moist air into the Arctic (e.g., Binder et al. 2017; </w:t>
      </w:r>
      <w:proofErr w:type="spellStart"/>
      <w:r w:rsidR="00097AD0">
        <w:rPr>
          <w:szCs w:val="24"/>
          <w:lang w:eastAsia="en-IN"/>
        </w:rPr>
        <w:t>Messori</w:t>
      </w:r>
      <w:proofErr w:type="spellEnd"/>
      <w:r w:rsidR="00097AD0">
        <w:rPr>
          <w:szCs w:val="24"/>
          <w:lang w:eastAsia="en-IN"/>
        </w:rPr>
        <w:t xml:space="preserve"> et al. 2018; </w:t>
      </w:r>
      <w:r w:rsidR="00097AD0" w:rsidRPr="007A63F9">
        <w:t>Fearon et al. 2021</w:t>
      </w:r>
      <w:r w:rsidR="00097AD0">
        <w:t xml:space="preserve">). </w:t>
      </w:r>
      <w:r w:rsidR="009836CD">
        <w:t>It is possible that latent heating occur</w:t>
      </w:r>
      <w:r w:rsidR="009B1EFB">
        <w:t>ring</w:t>
      </w:r>
      <w:r w:rsidR="009836CD">
        <w:t xml:space="preserve"> in conjunction with</w:t>
      </w:r>
      <w:r w:rsidR="00A24088">
        <w:t xml:space="preserve"> </w:t>
      </w:r>
      <w:r w:rsidR="009836CD">
        <w:t>intrusions of warm, moist air into</w:t>
      </w:r>
      <w:r w:rsidR="00A70179">
        <w:t xml:space="preserve"> the Arctic may influence the development and intensification of ACs.</w:t>
      </w:r>
    </w:p>
    <w:p w14:paraId="65A63CF3" w14:textId="3F212ABB" w:rsidR="00E302C1" w:rsidRPr="00A828AE" w:rsidRDefault="0057362A" w:rsidP="001D49A1">
      <w:pPr>
        <w:pStyle w:val="ParagraphText"/>
      </w:pPr>
      <w:r>
        <w:rPr>
          <w:szCs w:val="24"/>
        </w:rPr>
        <w:t>Although t</w:t>
      </w:r>
      <w:r w:rsidR="00D13EF2">
        <w:rPr>
          <w:szCs w:val="24"/>
        </w:rPr>
        <w:t>here have been a</w:t>
      </w:r>
      <w:r w:rsidR="00B87508" w:rsidRPr="00B87508">
        <w:rPr>
          <w:szCs w:val="24"/>
        </w:rPr>
        <w:t xml:space="preserve"> limited number of predictability studies of ACs in the literature,</w:t>
      </w:r>
      <w:r w:rsidR="00D13EF2">
        <w:rPr>
          <w:szCs w:val="24"/>
        </w:rPr>
        <w:t xml:space="preserve"> </w:t>
      </w:r>
      <w:r w:rsidR="00B87508" w:rsidRPr="00B87508">
        <w:rPr>
          <w:szCs w:val="24"/>
        </w:rPr>
        <w:t xml:space="preserve">interest in the predictability of ACs recently </w:t>
      </w:r>
      <w:r w:rsidR="003054AE">
        <w:rPr>
          <w:szCs w:val="24"/>
        </w:rPr>
        <w:t xml:space="preserve">has </w:t>
      </w:r>
      <w:r w:rsidR="00B87508" w:rsidRPr="00B87508">
        <w:rPr>
          <w:szCs w:val="24"/>
        </w:rPr>
        <w:t xml:space="preserve">been </w:t>
      </w:r>
      <w:r w:rsidR="00C62A6D">
        <w:rPr>
          <w:szCs w:val="24"/>
        </w:rPr>
        <w:t>increas</w:t>
      </w:r>
      <w:r w:rsidR="00B87508" w:rsidRPr="00B87508">
        <w:rPr>
          <w:szCs w:val="24"/>
        </w:rPr>
        <w:t>ing</w:t>
      </w:r>
      <w:r w:rsidR="00097AD0">
        <w:rPr>
          <w:szCs w:val="24"/>
        </w:rPr>
        <w:t xml:space="preserve"> (e.g., </w:t>
      </w:r>
      <w:r w:rsidR="000657FC">
        <w:rPr>
          <w:szCs w:val="24"/>
        </w:rPr>
        <w:t xml:space="preserve">Yamazaki et al. 2015; </w:t>
      </w:r>
      <w:proofErr w:type="spellStart"/>
      <w:r w:rsidR="00097AD0">
        <w:rPr>
          <w:szCs w:val="24"/>
        </w:rPr>
        <w:t>Yamagami</w:t>
      </w:r>
      <w:proofErr w:type="spellEnd"/>
      <w:r w:rsidR="00097AD0">
        <w:rPr>
          <w:szCs w:val="24"/>
        </w:rPr>
        <w:t xml:space="preserve"> et al. 2018</w:t>
      </w:r>
      <w:proofErr w:type="gramStart"/>
      <w:r w:rsidR="00097AD0">
        <w:rPr>
          <w:szCs w:val="24"/>
        </w:rPr>
        <w:t>a,b</w:t>
      </w:r>
      <w:proofErr w:type="gramEnd"/>
      <w:r w:rsidR="00097AD0">
        <w:rPr>
          <w:szCs w:val="24"/>
        </w:rPr>
        <w:t xml:space="preserve">, 2019; </w:t>
      </w:r>
      <w:proofErr w:type="spellStart"/>
      <w:r w:rsidR="00097AD0">
        <w:rPr>
          <w:szCs w:val="24"/>
        </w:rPr>
        <w:t>Capute</w:t>
      </w:r>
      <w:proofErr w:type="spellEnd"/>
      <w:r w:rsidR="00097AD0">
        <w:rPr>
          <w:szCs w:val="24"/>
        </w:rPr>
        <w:t xml:space="preserve"> and To</w:t>
      </w:r>
      <w:r w:rsidR="00A37F56">
        <w:rPr>
          <w:szCs w:val="24"/>
        </w:rPr>
        <w:t>r</w:t>
      </w:r>
      <w:r w:rsidR="00097AD0">
        <w:rPr>
          <w:szCs w:val="24"/>
        </w:rPr>
        <w:t>n 2021; Johnson and Wang</w:t>
      </w:r>
      <w:r w:rsidR="00A37F56">
        <w:rPr>
          <w:szCs w:val="24"/>
        </w:rPr>
        <w:t xml:space="preserve"> 2021</w:t>
      </w:r>
      <w:r w:rsidR="001D49A1">
        <w:rPr>
          <w:szCs w:val="24"/>
        </w:rPr>
        <w:t xml:space="preserve">; </w:t>
      </w:r>
      <w:r w:rsidR="001D49A1" w:rsidRPr="00A07AB5">
        <w:t>Blanchard-Wrigglesworth et al. 2022</w:t>
      </w:r>
      <w:r w:rsidR="00A37F56">
        <w:rPr>
          <w:szCs w:val="24"/>
        </w:rPr>
        <w:t>)</w:t>
      </w:r>
      <w:r w:rsidR="00B87508" w:rsidRPr="00B87508">
        <w:rPr>
          <w:szCs w:val="24"/>
        </w:rPr>
        <w:t>.</w:t>
      </w:r>
      <w:r w:rsidR="00B87508">
        <w:rPr>
          <w:szCs w:val="24"/>
        </w:rPr>
        <w:t xml:space="preserve"> </w:t>
      </w:r>
      <w:proofErr w:type="spellStart"/>
      <w:r w:rsidR="00A828AE" w:rsidRPr="00A828AE">
        <w:rPr>
          <w:szCs w:val="24"/>
        </w:rPr>
        <w:t>Yamagami</w:t>
      </w:r>
      <w:proofErr w:type="spellEnd"/>
      <w:r w:rsidR="00A828AE" w:rsidRPr="00A828AE">
        <w:rPr>
          <w:szCs w:val="24"/>
        </w:rPr>
        <w:t xml:space="preserve"> et al. (2018a) examine the</w:t>
      </w:r>
      <w:r w:rsidR="00A828AE">
        <w:rPr>
          <w:szCs w:val="24"/>
        </w:rPr>
        <w:t xml:space="preserve"> </w:t>
      </w:r>
      <w:r w:rsidR="00A828AE" w:rsidRPr="00A828AE">
        <w:rPr>
          <w:szCs w:val="24"/>
        </w:rPr>
        <w:t>forecast skill</w:t>
      </w:r>
      <w:r w:rsidR="00A828AE">
        <w:rPr>
          <w:szCs w:val="24"/>
        </w:rPr>
        <w:t xml:space="preserve"> of AC12 with five operational ensemble prediction systems (EPSs)</w:t>
      </w:r>
      <w:r w:rsidR="00A828AE" w:rsidRPr="00A828AE">
        <w:rPr>
          <w:szCs w:val="24"/>
        </w:rPr>
        <w:t xml:space="preserve"> and</w:t>
      </w:r>
      <w:r w:rsidR="007053B5">
        <w:rPr>
          <w:szCs w:val="24"/>
        </w:rPr>
        <w:t xml:space="preserve"> </w:t>
      </w:r>
      <w:r w:rsidR="00A828AE" w:rsidRPr="00A828AE">
        <w:rPr>
          <w:szCs w:val="24"/>
        </w:rPr>
        <w:t>find</w:t>
      </w:r>
      <w:r w:rsidR="00DE17FD">
        <w:rPr>
          <w:szCs w:val="24"/>
        </w:rPr>
        <w:t xml:space="preserve"> </w:t>
      </w:r>
      <w:r w:rsidR="0070641C">
        <w:rPr>
          <w:szCs w:val="24"/>
        </w:rPr>
        <w:t xml:space="preserve">that forecasts initialized </w:t>
      </w:r>
      <w:r w:rsidR="007053B5">
        <w:rPr>
          <w:szCs w:val="24"/>
        </w:rPr>
        <w:t xml:space="preserve">only </w:t>
      </w:r>
      <w:r w:rsidR="0070641C">
        <w:rPr>
          <w:szCs w:val="24"/>
        </w:rPr>
        <w:t>2–3 days</w:t>
      </w:r>
      <w:r w:rsidR="00D84163">
        <w:rPr>
          <w:szCs w:val="24"/>
        </w:rPr>
        <w:t xml:space="preserve"> </w:t>
      </w:r>
      <w:r w:rsidR="0070641C">
        <w:rPr>
          <w:szCs w:val="24"/>
        </w:rPr>
        <w:t xml:space="preserve">prior </w:t>
      </w:r>
      <w:r w:rsidR="00B86B68">
        <w:rPr>
          <w:szCs w:val="24"/>
        </w:rPr>
        <w:t xml:space="preserve">or closer </w:t>
      </w:r>
      <w:r w:rsidR="0070641C">
        <w:rPr>
          <w:szCs w:val="24"/>
        </w:rPr>
        <w:t xml:space="preserve">to </w:t>
      </w:r>
      <w:r w:rsidR="00DE17FD">
        <w:rPr>
          <w:szCs w:val="24"/>
        </w:rPr>
        <w:t xml:space="preserve">the time of peak intensity of AC12 are accurate. </w:t>
      </w:r>
      <w:proofErr w:type="spellStart"/>
      <w:r w:rsidR="00A828AE">
        <w:t>Yamagami</w:t>
      </w:r>
      <w:proofErr w:type="spellEnd"/>
      <w:r w:rsidR="00A828AE">
        <w:t xml:space="preserve"> et al. (2018b) </w:t>
      </w:r>
      <w:r w:rsidR="009822F9">
        <w:t>assess</w:t>
      </w:r>
      <w:r w:rsidR="00A828AE">
        <w:t xml:space="preserve"> the forecast skill of 10 strong ACs </w:t>
      </w:r>
      <w:r w:rsidR="00E71281">
        <w:t xml:space="preserve">that </w:t>
      </w:r>
      <w:r w:rsidR="00A828AE">
        <w:t xml:space="preserve">they refer to as “extraordinary ACs” </w:t>
      </w:r>
      <w:r w:rsidR="00E71281">
        <w:t xml:space="preserve">and </w:t>
      </w:r>
      <w:r w:rsidR="008F488C">
        <w:t>that occur</w:t>
      </w:r>
      <w:r w:rsidR="00A828AE">
        <w:t xml:space="preserve"> during the summers of 2008–</w:t>
      </w:r>
      <w:r w:rsidR="008F488C">
        <w:t xml:space="preserve">2016 with five operational EPSs. </w:t>
      </w:r>
      <w:proofErr w:type="spellStart"/>
      <w:r w:rsidR="008F488C">
        <w:t>Yamagami</w:t>
      </w:r>
      <w:proofErr w:type="spellEnd"/>
      <w:r w:rsidR="008F488C">
        <w:t xml:space="preserve"> et al. (2018b) state </w:t>
      </w:r>
      <w:r w:rsidR="00A37F56">
        <w:t xml:space="preserve">that the forecast skill of </w:t>
      </w:r>
      <w:r w:rsidR="008F488C">
        <w:t>the extraordinary ACs</w:t>
      </w:r>
      <w:r w:rsidR="00861D80" w:rsidRPr="00861D80">
        <w:t xml:space="preserve"> is lower than that of midlatitude cyclones in the Northern Hemi</w:t>
      </w:r>
      <w:r w:rsidR="00A37F56">
        <w:t xml:space="preserve">sphere. </w:t>
      </w:r>
      <w:proofErr w:type="spellStart"/>
      <w:r w:rsidR="008F488C">
        <w:t>Capute</w:t>
      </w:r>
      <w:proofErr w:type="spellEnd"/>
      <w:r w:rsidR="008F488C">
        <w:t xml:space="preserve"> and Torn (2021) compare the forecast skill of the intensity and position of ACs and of midlatitude cyclones over the North Atlantic using the </w:t>
      </w:r>
      <w:r w:rsidR="00A14BFA">
        <w:t xml:space="preserve">NOAA </w:t>
      </w:r>
      <w:r w:rsidR="008F488C">
        <w:t xml:space="preserve">GEFS reforecast dataset version 2. </w:t>
      </w:r>
      <w:r w:rsidR="00FF244F">
        <w:t>They</w:t>
      </w:r>
      <w:r w:rsidR="00A37F56">
        <w:t xml:space="preserve"> </w:t>
      </w:r>
      <w:r w:rsidR="00861D80" w:rsidRPr="00861D80">
        <w:t>show that ACs are less predictable in terms of position compared to midlatitude cyclones over the North Atlantic, and show that ACs are more predictable in terms of intensity compared to midlatitude cyclones over the North Atlantic.</w:t>
      </w:r>
      <w:r w:rsidR="001D49A1">
        <w:t xml:space="preserve"> </w:t>
      </w:r>
    </w:p>
    <w:p w14:paraId="117FD1D0" w14:textId="40497388" w:rsidR="00861D80" w:rsidRDefault="00861D80" w:rsidP="00A6246F">
      <w:r>
        <w:t>F</w:t>
      </w:r>
      <w:r w:rsidRPr="0012579E">
        <w:t xml:space="preserve">orecast errors related to baroclinic processes </w:t>
      </w:r>
      <w:r w:rsidR="00612939">
        <w:t>have been show</w:t>
      </w:r>
      <w:r w:rsidR="000E4BA7">
        <w:t>n</w:t>
      </w:r>
      <w:r w:rsidR="00612939">
        <w:t xml:space="preserve"> to contribute to</w:t>
      </w:r>
      <w:r w:rsidRPr="0012579E">
        <w:t xml:space="preserve"> forecast errors in the</w:t>
      </w:r>
      <w:r w:rsidR="00612939">
        <w:t xml:space="preserve"> </w:t>
      </w:r>
      <w:r w:rsidRPr="0012579E">
        <w:t>synoptic-scale flow</w:t>
      </w:r>
      <w:r w:rsidR="00612939">
        <w:t xml:space="preserve"> over middle latitudes</w:t>
      </w:r>
      <w:r w:rsidRPr="0012579E">
        <w:t xml:space="preserve"> (e.g., </w:t>
      </w:r>
      <w:proofErr w:type="spellStart"/>
      <w:r w:rsidRPr="0012579E">
        <w:t>Tribbia</w:t>
      </w:r>
      <w:proofErr w:type="spellEnd"/>
      <w:r w:rsidRPr="0012579E">
        <w:t xml:space="preserve"> and </w:t>
      </w:r>
      <w:proofErr w:type="spellStart"/>
      <w:r w:rsidRPr="0012579E">
        <w:t>Baumhefner</w:t>
      </w:r>
      <w:proofErr w:type="spellEnd"/>
      <w:r w:rsidRPr="0012579E">
        <w:t xml:space="preserve"> 2004; Davies and </w:t>
      </w:r>
      <w:proofErr w:type="spellStart"/>
      <w:r w:rsidRPr="0012579E">
        <w:t>Didone</w:t>
      </w:r>
      <w:proofErr w:type="spellEnd"/>
      <w:r w:rsidRPr="0012579E">
        <w:t xml:space="preserve"> 2013</w:t>
      </w:r>
      <w:r w:rsidR="00E313C3">
        <w:t xml:space="preserve">; </w:t>
      </w:r>
      <w:proofErr w:type="spellStart"/>
      <w:r w:rsidR="00E313C3">
        <w:t>Boisseri</w:t>
      </w:r>
      <w:r w:rsidR="007C2307">
        <w:t>e</w:t>
      </w:r>
      <w:proofErr w:type="spellEnd"/>
      <w:r w:rsidR="00E313C3">
        <w:t xml:space="preserve"> et al. 2014; </w:t>
      </w:r>
      <w:proofErr w:type="spellStart"/>
      <w:r w:rsidR="00E313C3">
        <w:t>Selz</w:t>
      </w:r>
      <w:proofErr w:type="spellEnd"/>
      <w:r w:rsidR="00E313C3">
        <w:t xml:space="preserve"> and Craig 2015</w:t>
      </w:r>
      <w:r>
        <w:t xml:space="preserve">) and to forecast errors in </w:t>
      </w:r>
      <w:r w:rsidR="009D452B">
        <w:t>midlatitude</w:t>
      </w:r>
      <w:r>
        <w:t xml:space="preserve"> cyclones (e.g., Sanders 1986; Zhu and Thorpe 2006</w:t>
      </w:r>
      <w:r w:rsidR="00E313C3">
        <w:t xml:space="preserve">; </w:t>
      </w:r>
      <w:r w:rsidR="00E313C3">
        <w:rPr>
          <w:szCs w:val="24"/>
          <w:lang w:eastAsia="en-IN"/>
        </w:rPr>
        <w:t>Zhang et al. 2007; Zheng et al. 2013</w:t>
      </w:r>
      <w:r>
        <w:t>).</w:t>
      </w:r>
      <w:r w:rsidR="00612939" w:rsidRPr="00612939">
        <w:t xml:space="preserve"> </w:t>
      </w:r>
      <w:r w:rsidR="00612939">
        <w:t>In addition, f</w:t>
      </w:r>
      <w:r w:rsidR="00612939" w:rsidRPr="0012579E">
        <w:t xml:space="preserve">orecast errors related to </w:t>
      </w:r>
      <w:r w:rsidR="00612939">
        <w:t>latent heating have been shown to</w:t>
      </w:r>
      <w:r w:rsidR="00612939" w:rsidRPr="0012579E">
        <w:t xml:space="preserve"> contribute to forecast errors in the synoptic-scale flow</w:t>
      </w:r>
      <w:r w:rsidR="00612939">
        <w:t xml:space="preserve"> over mid</w:t>
      </w:r>
      <w:r w:rsidR="009D452B">
        <w:t>dle latitudes</w:t>
      </w:r>
      <w:r w:rsidR="00612939" w:rsidRPr="0012579E">
        <w:t xml:space="preserve"> (e.g., Rodwell et al. 2013; </w:t>
      </w:r>
      <w:r w:rsidR="004C7BA2">
        <w:t>Martínez-Alvarado</w:t>
      </w:r>
      <w:r w:rsidR="004C7BA2" w:rsidRPr="0012579E">
        <w:t xml:space="preserve"> </w:t>
      </w:r>
      <w:r w:rsidR="00612939" w:rsidRPr="0012579E">
        <w:t>et al. 2016</w:t>
      </w:r>
      <w:r w:rsidR="00E313C3">
        <w:t>; Grams et al. 2018</w:t>
      </w:r>
      <w:r w:rsidR="00612939">
        <w:t xml:space="preserve">) and to forecast errors in midlatitude cyclones </w:t>
      </w:r>
      <w:r w:rsidR="00612939" w:rsidRPr="007A63F9">
        <w:t>(e.g., Zhang et al. 2003</w:t>
      </w:r>
      <w:r w:rsidR="00612939">
        <w:t>, 2007).</w:t>
      </w:r>
      <w:r w:rsidR="00291E67">
        <w:t xml:space="preserve"> It is expected that forecast </w:t>
      </w:r>
      <w:r w:rsidR="00713CC4">
        <w:t>errors related to</w:t>
      </w:r>
      <w:r w:rsidR="00291E67">
        <w:t xml:space="preserve"> baroclinic processes and latent heating may also contribute to forecast errors in the synoptic-scale flow over the Arctic and to forecast errors in </w:t>
      </w:r>
      <w:r w:rsidR="007B29E9">
        <w:t xml:space="preserve">the intensity and position of </w:t>
      </w:r>
      <w:r w:rsidR="00291E67">
        <w:t>ACs.</w:t>
      </w:r>
      <w:r w:rsidR="00E94317">
        <w:t xml:space="preserve"> </w:t>
      </w:r>
      <w:proofErr w:type="spellStart"/>
      <w:r w:rsidR="00986883" w:rsidRPr="00074782">
        <w:t>Capute</w:t>
      </w:r>
      <w:proofErr w:type="spellEnd"/>
      <w:r w:rsidR="00986883" w:rsidRPr="00074782">
        <w:t xml:space="preserve"> and Torn (2021) find that ACs</w:t>
      </w:r>
      <w:r w:rsidR="00A37F56">
        <w:t xml:space="preserve"> characterized by low</w:t>
      </w:r>
      <w:r w:rsidR="00DD4A00">
        <w:t>er</w:t>
      </w:r>
      <w:r w:rsidR="00A37F56">
        <w:t xml:space="preserve"> </w:t>
      </w:r>
      <w:r w:rsidR="007B29E9">
        <w:t>predictability</w:t>
      </w:r>
      <w:r w:rsidR="00A37F56">
        <w:t xml:space="preserve"> </w:t>
      </w:r>
      <w:r w:rsidR="00DD4A00">
        <w:t xml:space="preserve">in terms </w:t>
      </w:r>
      <w:r w:rsidR="00A37F56">
        <w:t>of intensity</w:t>
      </w:r>
      <w:r w:rsidR="00302134">
        <w:t xml:space="preserve"> are </w:t>
      </w:r>
      <w:r w:rsidR="00302134">
        <w:lastRenderedPageBreak/>
        <w:t>typically located</w:t>
      </w:r>
      <w:r w:rsidR="00986883" w:rsidRPr="00074782">
        <w:t xml:space="preserve"> in environments characterized by larger </w:t>
      </w:r>
      <w:r w:rsidR="00986883">
        <w:t>lower-to-</w:t>
      </w:r>
      <w:proofErr w:type="spellStart"/>
      <w:r w:rsidR="00986883">
        <w:t>midtropospheric</w:t>
      </w:r>
      <w:proofErr w:type="spellEnd"/>
      <w:r w:rsidR="00986883">
        <w:t xml:space="preserve"> </w:t>
      </w:r>
      <w:r w:rsidR="00FC7843">
        <w:t>EGR</w:t>
      </w:r>
      <w:r w:rsidR="00986883">
        <w:t xml:space="preserve"> </w:t>
      </w:r>
      <w:r w:rsidR="00986883" w:rsidRPr="00074782">
        <w:t xml:space="preserve">compared to </w:t>
      </w:r>
      <w:r w:rsidR="00A37F56">
        <w:t>ACs characterized by high</w:t>
      </w:r>
      <w:r w:rsidR="00DD4A00">
        <w:t>er</w:t>
      </w:r>
      <w:r w:rsidR="00A37F56">
        <w:t xml:space="preserve"> </w:t>
      </w:r>
      <w:r w:rsidR="007B29E9">
        <w:t>predictability</w:t>
      </w:r>
      <w:r w:rsidR="00A37F56">
        <w:t xml:space="preserve"> </w:t>
      </w:r>
      <w:r w:rsidR="00DD4A00">
        <w:t xml:space="preserve">in terms </w:t>
      </w:r>
      <w:r w:rsidR="00A37F56">
        <w:t>of intensity</w:t>
      </w:r>
      <w:r w:rsidR="00986883" w:rsidRPr="00074782">
        <w:t>.</w:t>
      </w:r>
      <w:r w:rsidR="00986883">
        <w:t xml:space="preserve"> </w:t>
      </w:r>
      <w:r w:rsidR="0070641C">
        <w:t>Despite expectations</w:t>
      </w:r>
      <w:r w:rsidR="00683448">
        <w:t xml:space="preserve"> to the contrary</w:t>
      </w:r>
      <w:r w:rsidR="0070641C">
        <w:t>,</w:t>
      </w:r>
      <w:r w:rsidR="00EC08A5">
        <w:t xml:space="preserve"> </w:t>
      </w:r>
      <w:r w:rsidR="00E37169">
        <w:t>they</w:t>
      </w:r>
      <w:r w:rsidR="00986883" w:rsidRPr="00546339">
        <w:t xml:space="preserve"> find that there is no systematic difference in latent heating between </w:t>
      </w:r>
      <w:r w:rsidR="00A37F56">
        <w:t>ACs characterized by low</w:t>
      </w:r>
      <w:r w:rsidR="00DD4A00">
        <w:t>er</w:t>
      </w:r>
      <w:r w:rsidR="00A37F56">
        <w:t xml:space="preserve"> </w:t>
      </w:r>
      <w:r w:rsidR="007B29E9">
        <w:t>predictability</w:t>
      </w:r>
      <w:r w:rsidR="00A37F56">
        <w:t xml:space="preserve"> </w:t>
      </w:r>
      <w:r w:rsidR="00DD4A00">
        <w:t xml:space="preserve">in terms </w:t>
      </w:r>
      <w:r w:rsidR="00A37F56">
        <w:t>of intensity and ACs characterized by high</w:t>
      </w:r>
      <w:r w:rsidR="00DD4A00">
        <w:t>er</w:t>
      </w:r>
      <w:r w:rsidR="00A37F56">
        <w:t xml:space="preserve"> </w:t>
      </w:r>
      <w:r w:rsidR="007B29E9">
        <w:t>predictability</w:t>
      </w:r>
      <w:r w:rsidR="00A37F56">
        <w:t xml:space="preserve"> </w:t>
      </w:r>
      <w:r w:rsidR="00DD4A00">
        <w:t xml:space="preserve">in terms </w:t>
      </w:r>
      <w:r w:rsidR="00A37F56">
        <w:t>of intensity</w:t>
      </w:r>
      <w:r w:rsidR="00D94920">
        <w:t>.</w:t>
      </w:r>
      <w:r w:rsidR="006874D2" w:rsidRPr="006874D2">
        <w:t xml:space="preserve"> </w:t>
      </w:r>
      <w:r w:rsidR="00293540" w:rsidRPr="00B24785">
        <w:t>F</w:t>
      </w:r>
      <w:r w:rsidR="00252A09">
        <w:t xml:space="preserve">urthermore, they </w:t>
      </w:r>
      <w:r w:rsidR="00581DBC">
        <w:t xml:space="preserve">do not </w:t>
      </w:r>
      <w:r w:rsidR="004871BB">
        <w:t>find</w:t>
      </w:r>
      <w:r w:rsidR="00581DBC">
        <w:t xml:space="preserve"> </w:t>
      </w:r>
      <w:r w:rsidR="00637E67">
        <w:t>substantial</w:t>
      </w:r>
      <w:r w:rsidR="00252A09">
        <w:t xml:space="preserve"> differences in environmental properties between</w:t>
      </w:r>
      <w:r w:rsidR="00293540" w:rsidRPr="00B24785">
        <w:t xml:space="preserve"> ACs characterized by lower predictability in terms of position and ACs characterized by higher predictability in terms of position</w:t>
      </w:r>
      <w:r w:rsidR="00252A09">
        <w:t xml:space="preserve">. </w:t>
      </w:r>
      <w:r w:rsidR="006874D2">
        <w:t xml:space="preserve">Aside from </w:t>
      </w:r>
      <w:proofErr w:type="spellStart"/>
      <w:r w:rsidR="006874D2">
        <w:t>Capute</w:t>
      </w:r>
      <w:proofErr w:type="spellEnd"/>
      <w:r w:rsidR="006874D2">
        <w:t xml:space="preserve"> and Torn (2021), there has been limited research that has compared ACs characterized by low</w:t>
      </w:r>
      <w:r w:rsidR="00DD4A00">
        <w:t>er</w:t>
      </w:r>
      <w:r w:rsidR="006874D2">
        <w:t xml:space="preserve"> and high</w:t>
      </w:r>
      <w:r w:rsidR="00DD4A00">
        <w:t>er</w:t>
      </w:r>
      <w:r w:rsidR="006874D2">
        <w:t xml:space="preserve"> </w:t>
      </w:r>
      <w:r w:rsidR="008740BA">
        <w:t>predictability</w:t>
      </w:r>
      <w:r w:rsidR="007B29E9">
        <w:t xml:space="preserve"> </w:t>
      </w:r>
      <w:r w:rsidR="00DD4A00">
        <w:t xml:space="preserve">in terms </w:t>
      </w:r>
      <w:r w:rsidR="007B29E9">
        <w:t>of intensity and position</w:t>
      </w:r>
      <w:r w:rsidR="006874D2">
        <w:t>.</w:t>
      </w:r>
    </w:p>
    <w:p w14:paraId="601AC612" w14:textId="4E712FDD" w:rsidR="00861D80" w:rsidRDefault="00963D15" w:rsidP="00F52648">
      <w:pPr>
        <w:pStyle w:val="ParagraphText"/>
      </w:pPr>
      <w:r w:rsidRPr="00414FEF">
        <w:t xml:space="preserve">The purpose of this study is to </w:t>
      </w:r>
      <w:r w:rsidR="001F69AE">
        <w:t xml:space="preserve">increase </w:t>
      </w:r>
      <w:r>
        <w:t>understanding of processes that</w:t>
      </w:r>
      <w:r w:rsidR="00054486">
        <w:t xml:space="preserve"> </w:t>
      </w:r>
      <w:r>
        <w:t>influence</w:t>
      </w:r>
      <w:r w:rsidRPr="00414FEF">
        <w:t xml:space="preserve"> </w:t>
      </w:r>
      <w:r>
        <w:t xml:space="preserve">the </w:t>
      </w:r>
      <w:r w:rsidRPr="00414FEF">
        <w:t xml:space="preserve">forecast skill of the synoptic-scale flow over the Arctic and of ACs. </w:t>
      </w:r>
      <w:r w:rsidR="00861D80">
        <w:t xml:space="preserve">Specifically, the present study aims to </w:t>
      </w:r>
      <w:r w:rsidR="003E1547">
        <w:t>compare</w:t>
      </w:r>
      <w:r w:rsidR="00861D80" w:rsidRPr="008F26A8">
        <w:t xml:space="preserve"> characteristics of the Arctic environment</w:t>
      </w:r>
      <w:r w:rsidR="00984C59">
        <w:t>,</w:t>
      </w:r>
      <w:r w:rsidR="00861D80" w:rsidRPr="008F26A8">
        <w:t xml:space="preserve"> and the frequency, characteristics, and forecast skill of ACs</w:t>
      </w:r>
      <w:r w:rsidR="00984C59">
        <w:t>,</w:t>
      </w:r>
      <w:r w:rsidR="008F488C">
        <w:t xml:space="preserve"> between</w:t>
      </w:r>
      <w:r w:rsidR="00643F47">
        <w:t xml:space="preserve"> low-skill </w:t>
      </w:r>
      <w:r w:rsidR="00861D80">
        <w:t>and high-skill periods.</w:t>
      </w:r>
      <w:r w:rsidR="008C74EE">
        <w:t xml:space="preserve"> </w:t>
      </w:r>
      <w:r w:rsidR="003E7CCE" w:rsidRPr="003E7CCE">
        <w:t>As previously discussed, forecast errors related to baroclinic processes and latent heating are expected to contribute to forecast errors in the synoptic-scale flow over the Arctic and to forecast errors in ACs. It is further expected that more vigorous baroclinic processes and latent heating may be associated with greater forecast errors. On the basis of these expectations, it is hypothesized that baroclinic processes and latent heating are more vigorous over the Arctic and in the vicinity of ACs during low-skill periods compared to high-skill periods. It is also hypothesized that baroclinic processes and latent heating are more vigorous in the vicinity of ACs during low-skill periods that are characterized by low forecast skill of intensity compared to ACs during low-skill periods that are characterized by high forecast skill of intensity.</w:t>
      </w:r>
      <w:r w:rsidR="003E7CCE">
        <w:t xml:space="preserve"> </w:t>
      </w:r>
      <w:r w:rsidR="008C74EE">
        <w:t>The remainder of this paper is organized as follows. Section 2 presents data and methodology</w:t>
      </w:r>
      <w:r w:rsidR="00E94317">
        <w:t xml:space="preserve"> used</w:t>
      </w:r>
      <w:r w:rsidR="008C74EE">
        <w:t xml:space="preserve"> to identify low-skill and high-skill periods, identify ACs, determine characteristics of the Arctic environment and ACs, and determine the forecast skill </w:t>
      </w:r>
      <w:r w:rsidR="008F488C">
        <w:t xml:space="preserve">of ACs. Section 3 compares </w:t>
      </w:r>
      <w:r w:rsidR="008C74EE">
        <w:t xml:space="preserve">Arctic forecast skill, characteristics of the Arctic environment, </w:t>
      </w:r>
      <w:r w:rsidR="008F488C">
        <w:t>and the frequency, characteristics,</w:t>
      </w:r>
      <w:r w:rsidR="00E94317">
        <w:t xml:space="preserve"> and </w:t>
      </w:r>
      <w:r w:rsidR="008C74EE">
        <w:t>forecast skill of ACs</w:t>
      </w:r>
      <w:r w:rsidR="008F488C">
        <w:t>, between low-skill and high-skill periods</w:t>
      </w:r>
      <w:r w:rsidR="008C74EE">
        <w:t xml:space="preserve">. Section 4 summarizes the results of the </w:t>
      </w:r>
      <w:r w:rsidR="008F488C">
        <w:t>paper</w:t>
      </w:r>
      <w:r w:rsidR="008C74EE">
        <w:t>.</w:t>
      </w:r>
    </w:p>
    <w:p w14:paraId="32331DED" w14:textId="77777777" w:rsidR="00E84A10" w:rsidRPr="00F52648" w:rsidRDefault="00E84A10" w:rsidP="00597D26">
      <w:pPr>
        <w:pStyle w:val="ParagraphText"/>
        <w:ind w:firstLine="0"/>
        <w:rPr>
          <w:szCs w:val="24"/>
        </w:rPr>
      </w:pPr>
    </w:p>
    <w:p w14:paraId="1F43D25E" w14:textId="77777777" w:rsidR="00C24929" w:rsidRDefault="00C24929" w:rsidP="006E19A6">
      <w:pPr>
        <w:pStyle w:val="H1"/>
        <w:rPr>
          <w:szCs w:val="24"/>
        </w:rPr>
      </w:pPr>
    </w:p>
    <w:p w14:paraId="7660FE59" w14:textId="4A4DA1C5" w:rsidR="00D90B97" w:rsidRPr="003E64F4" w:rsidRDefault="00B36F8E" w:rsidP="006E19A6">
      <w:pPr>
        <w:pStyle w:val="H1"/>
        <w:rPr>
          <w:szCs w:val="24"/>
        </w:rPr>
      </w:pPr>
      <w:r w:rsidRPr="003E64F4">
        <w:rPr>
          <w:szCs w:val="24"/>
        </w:rPr>
        <w:lastRenderedPageBreak/>
        <w:t xml:space="preserve">2. Data and </w:t>
      </w:r>
      <w:r w:rsidR="00940543">
        <w:rPr>
          <w:szCs w:val="24"/>
        </w:rPr>
        <w:t>m</w:t>
      </w:r>
      <w:r w:rsidRPr="003E64F4">
        <w:rPr>
          <w:szCs w:val="24"/>
        </w:rPr>
        <w:t>ethodology</w:t>
      </w:r>
    </w:p>
    <w:p w14:paraId="073F87F6" w14:textId="399AA936" w:rsidR="00B36F8E" w:rsidRPr="00B36F8E" w:rsidRDefault="00B36F8E" w:rsidP="00B36F8E">
      <w:pPr>
        <w:pStyle w:val="H2"/>
        <w:rPr>
          <w:szCs w:val="24"/>
        </w:rPr>
      </w:pPr>
      <w:r w:rsidRPr="00B36F8E">
        <w:rPr>
          <w:szCs w:val="24"/>
        </w:rPr>
        <w:t>a. Identification of low-skill and high-skill periods</w:t>
      </w:r>
    </w:p>
    <w:p w14:paraId="01207365" w14:textId="657EA4BF" w:rsidR="00007712" w:rsidRDefault="008C74EE" w:rsidP="003009F5">
      <w:r>
        <w:rPr>
          <w:szCs w:val="24"/>
        </w:rPr>
        <w:t>D</w:t>
      </w:r>
      <w:r w:rsidRPr="00D84111">
        <w:t xml:space="preserve">ay-5 forecasts </w:t>
      </w:r>
      <w:r>
        <w:t xml:space="preserve">of </w:t>
      </w:r>
      <w:r w:rsidRPr="00D84111">
        <w:t xml:space="preserve">500-hPa geopotential height </w:t>
      </w:r>
      <w:r>
        <w:t>from the</w:t>
      </w:r>
      <w:r w:rsidR="00E9768B">
        <w:t xml:space="preserve"> 11-member</w:t>
      </w:r>
      <w:r>
        <w:t xml:space="preserve"> </w:t>
      </w:r>
      <w:r w:rsidRPr="00A1387D">
        <w:t xml:space="preserve">1° NOAA </w:t>
      </w:r>
      <w:r w:rsidR="0029675E">
        <w:rPr>
          <w:szCs w:val="24"/>
          <w:lang w:eastAsia="en-IN"/>
        </w:rPr>
        <w:t>GEFS</w:t>
      </w:r>
      <w:r w:rsidRPr="00A1387D">
        <w:t xml:space="preserve"> reforecast dataset v</w:t>
      </w:r>
      <w:r>
        <w:t xml:space="preserve">ersion 2 (Hamill et al. 2013) </w:t>
      </w:r>
      <w:r w:rsidRPr="00D84111">
        <w:t xml:space="preserve">initialized </w:t>
      </w:r>
      <w:r w:rsidR="00A14BFA">
        <w:t xml:space="preserve">daily at 0000 UTC </w:t>
      </w:r>
      <w:r w:rsidRPr="00D84111">
        <w:t>during the summers (June–August)</w:t>
      </w:r>
      <w:r>
        <w:t xml:space="preserve"> of 2007–2017 are utilized to </w:t>
      </w:r>
      <w:r w:rsidRPr="00A1387D">
        <w:t xml:space="preserve">evaluate </w:t>
      </w:r>
      <w:r>
        <w:t xml:space="preserve">the </w:t>
      </w:r>
      <w:r w:rsidRPr="00A1387D">
        <w:t>forecast skill of the synopti</w:t>
      </w:r>
      <w:r>
        <w:t>c-scale flow over the Arctic</w:t>
      </w:r>
      <w:r w:rsidR="009741DF">
        <w:t xml:space="preserve"> (≥ 70°N)</w:t>
      </w:r>
      <w:r w:rsidR="00197F01">
        <w:t>. R</w:t>
      </w:r>
      <w:r w:rsidR="009741DF">
        <w:t>efer to Fig. 1 for a map of the Arctic and geographical features to be discussed in the present study</w:t>
      </w:r>
      <w:r w:rsidR="00A14BFA">
        <w:t xml:space="preserve">. </w:t>
      </w:r>
      <w:r w:rsidR="00C57EAA" w:rsidRPr="00C57EAA">
        <w:t xml:space="preserve">The summer season is chosen </w:t>
      </w:r>
      <w:r w:rsidR="0061249A" w:rsidRPr="0061249A">
        <w:t>because events characterized by rapid ice loss over the Arctic have increased in frequency during summer in recent years (Stro</w:t>
      </w:r>
      <w:r w:rsidR="00AC2108">
        <w:t>e</w:t>
      </w:r>
      <w:r w:rsidR="0061249A" w:rsidRPr="0061249A">
        <w:t xml:space="preserve">ve and </w:t>
      </w:r>
      <w:proofErr w:type="spellStart"/>
      <w:r w:rsidR="0061249A" w:rsidRPr="0061249A">
        <w:t>Notz</w:t>
      </w:r>
      <w:proofErr w:type="spellEnd"/>
      <w:r w:rsidR="0061249A" w:rsidRPr="0061249A">
        <w:t xml:space="preserve"> 2018), and ACs have been shown to contribute to these ice-loss events (e.g., Zhang et al. 2013; Stroeve and </w:t>
      </w:r>
      <w:proofErr w:type="spellStart"/>
      <w:r w:rsidR="0061249A" w:rsidRPr="0061249A">
        <w:t>Notz</w:t>
      </w:r>
      <w:proofErr w:type="spellEnd"/>
      <w:r w:rsidR="0061249A" w:rsidRPr="0061249A">
        <w:t xml:space="preserve"> 2018). Furthermore, human activities in the Arctic such as tourism (e.g., Hall and Saarinen 2010) and shipping (</w:t>
      </w:r>
      <w:proofErr w:type="spellStart"/>
      <w:r w:rsidR="0061249A" w:rsidRPr="0061249A">
        <w:t>e.g</w:t>
      </w:r>
      <w:proofErr w:type="spellEnd"/>
      <w:r w:rsidR="0061249A" w:rsidRPr="0061249A">
        <w:t xml:space="preserve">, </w:t>
      </w:r>
      <w:proofErr w:type="spellStart"/>
      <w:r w:rsidR="0061249A" w:rsidRPr="0061249A">
        <w:t>Eguíluz</w:t>
      </w:r>
      <w:proofErr w:type="spellEnd"/>
      <w:r w:rsidR="0061249A" w:rsidRPr="0061249A">
        <w:t xml:space="preserve"> et al. 2016) increase in frequency during summer, such that these activities may be adversely impacted by ACs (e.g., Inoue 2021).</w:t>
      </w:r>
      <w:r w:rsidR="0061249A">
        <w:t xml:space="preserve"> </w:t>
      </w:r>
      <w:r w:rsidR="00E9768B">
        <w:t>A</w:t>
      </w:r>
      <w:r w:rsidR="00E9768B" w:rsidRPr="00074782">
        <w:t xml:space="preserve"> fixed </w:t>
      </w:r>
      <w:r w:rsidR="00E9768B">
        <w:t xml:space="preserve">model (i.e., </w:t>
      </w:r>
      <w:r w:rsidR="00E9768B" w:rsidRPr="00074782">
        <w:t xml:space="preserve">the 2012 operational version of the NCEP </w:t>
      </w:r>
      <w:r w:rsidR="00E9768B">
        <w:t xml:space="preserve">GEFS) is used to produce the ensemble forecasts, such that forecast skill can be evaluated </w:t>
      </w:r>
      <w:r w:rsidR="00DD06A7">
        <w:t>from</w:t>
      </w:r>
      <w:r w:rsidR="00E9768B">
        <w:t xml:space="preserve"> the ensemble forecasts without having to account for</w:t>
      </w:r>
      <w:r w:rsidR="00E9768B" w:rsidRPr="00074782">
        <w:t xml:space="preserve"> changes in model configuration</w:t>
      </w:r>
      <w:r w:rsidR="00E9768B">
        <w:t xml:space="preserve"> over time</w:t>
      </w:r>
      <w:r w:rsidR="00E9768B" w:rsidRPr="00074782">
        <w:t xml:space="preserve"> (e.g., Hamill and </w:t>
      </w:r>
      <w:proofErr w:type="spellStart"/>
      <w:r w:rsidR="00E9768B" w:rsidRPr="00074782">
        <w:t>Kiladis</w:t>
      </w:r>
      <w:proofErr w:type="spellEnd"/>
      <w:r w:rsidR="00E9768B" w:rsidRPr="00074782">
        <w:t xml:space="preserve"> 2014). </w:t>
      </w:r>
      <w:r w:rsidR="00A25513">
        <w:t xml:space="preserve">Day-5 </w:t>
      </w:r>
      <w:r w:rsidR="003A20AE">
        <w:t xml:space="preserve">forecasts of </w:t>
      </w:r>
      <w:r w:rsidR="00A25513">
        <w:t>500-hPa geopote</w:t>
      </w:r>
      <w:r w:rsidR="003A20AE">
        <w:t xml:space="preserve">ntial height </w:t>
      </w:r>
      <w:r w:rsidR="00A25513">
        <w:t xml:space="preserve">are </w:t>
      </w:r>
      <w:r w:rsidR="008E637C">
        <w:t>utilized</w:t>
      </w:r>
      <w:r w:rsidR="00A25513">
        <w:t xml:space="preserve"> because medium-range (e.g., day 5 or day 6) </w:t>
      </w:r>
      <w:r w:rsidR="003A20AE">
        <w:t xml:space="preserve">forecasts of </w:t>
      </w:r>
      <w:r w:rsidR="00A25513">
        <w:t xml:space="preserve">500-hPa geopotential </w:t>
      </w:r>
      <w:r w:rsidR="003A20AE">
        <w:t xml:space="preserve">height have </w:t>
      </w:r>
      <w:r w:rsidR="00A25513">
        <w:t xml:space="preserve">commonly </w:t>
      </w:r>
      <w:r w:rsidR="003A20AE">
        <w:t xml:space="preserve">been </w:t>
      </w:r>
      <w:r w:rsidR="0043461C">
        <w:t>utilized</w:t>
      </w:r>
      <w:r w:rsidR="00A25513">
        <w:t xml:space="preserve"> to evaluate </w:t>
      </w:r>
      <w:r w:rsidR="007760E8">
        <w:t xml:space="preserve">the </w:t>
      </w:r>
      <w:r w:rsidR="00A25513">
        <w:t xml:space="preserve">forecast skill </w:t>
      </w:r>
      <w:r w:rsidR="003A20AE">
        <w:t xml:space="preserve">of operational </w:t>
      </w:r>
      <w:r w:rsidR="007760E8">
        <w:t xml:space="preserve">numerical weather </w:t>
      </w:r>
      <w:r w:rsidR="003A20AE">
        <w:t>prediction systems</w:t>
      </w:r>
      <w:r w:rsidR="007760E8">
        <w:t xml:space="preserve"> (e.g., </w:t>
      </w:r>
      <w:proofErr w:type="spellStart"/>
      <w:r w:rsidR="007760E8">
        <w:t>Kalnay</w:t>
      </w:r>
      <w:proofErr w:type="spellEnd"/>
      <w:r w:rsidR="007760E8">
        <w:t xml:space="preserve"> et al. 1991; Langland and </w:t>
      </w:r>
      <w:proofErr w:type="spellStart"/>
      <w:r w:rsidR="007760E8">
        <w:t>Maue</w:t>
      </w:r>
      <w:proofErr w:type="spellEnd"/>
      <w:r w:rsidR="007760E8">
        <w:t xml:space="preserve"> 2012; </w:t>
      </w:r>
      <w:proofErr w:type="spellStart"/>
      <w:r w:rsidR="007760E8">
        <w:t>Sandu</w:t>
      </w:r>
      <w:proofErr w:type="spellEnd"/>
      <w:r w:rsidR="007760E8">
        <w:t xml:space="preserve"> and Bauer 2018)</w:t>
      </w:r>
      <w:r w:rsidR="009822F9">
        <w:t>.</w:t>
      </w:r>
      <w:r w:rsidR="007760E8">
        <w:t xml:space="preserve"> </w:t>
      </w:r>
    </w:p>
    <w:p w14:paraId="694964C2" w14:textId="77777777" w:rsidR="004674FE" w:rsidRDefault="004674FE" w:rsidP="003009F5"/>
    <w:p w14:paraId="79FC394C" w14:textId="355232A2" w:rsidR="00007712" w:rsidRDefault="002058CE" w:rsidP="0093507C">
      <w:pPr>
        <w:ind w:firstLine="0"/>
        <w:jc w:val="center"/>
      </w:pPr>
      <w:r>
        <w:rPr>
          <w:noProof/>
        </w:rPr>
        <w:lastRenderedPageBreak/>
        <w:drawing>
          <wp:inline distT="0" distB="0" distL="0" distR="0" wp14:anchorId="34DBFEDF" wp14:editId="122490F1">
            <wp:extent cx="5731510" cy="53232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
                    <a:stretch>
                      <a:fillRect/>
                    </a:stretch>
                  </pic:blipFill>
                  <pic:spPr>
                    <a:xfrm>
                      <a:off x="0" y="0"/>
                      <a:ext cx="5731510" cy="5323205"/>
                    </a:xfrm>
                    <a:prstGeom prst="rect">
                      <a:avLst/>
                    </a:prstGeom>
                  </pic:spPr>
                </pic:pic>
              </a:graphicData>
            </a:graphic>
          </wp:inline>
        </w:drawing>
      </w:r>
    </w:p>
    <w:p w14:paraId="3BD4FAEC" w14:textId="0CDBD844" w:rsidR="00007712" w:rsidRDefault="00007712" w:rsidP="00007712">
      <w:pPr>
        <w:spacing w:line="240" w:lineRule="auto"/>
        <w:ind w:firstLine="0"/>
      </w:pPr>
      <w:r>
        <w:t xml:space="preserve">Fig. 1. Map of Arctic geography, including names of seas and </w:t>
      </w:r>
      <w:r w:rsidR="00FD3170">
        <w:t>select</w:t>
      </w:r>
      <w:r w:rsidR="00311484">
        <w:t>ed</w:t>
      </w:r>
      <w:r w:rsidR="00FD3170">
        <w:t xml:space="preserve"> regions</w:t>
      </w:r>
      <w:r>
        <w:t xml:space="preserve">. The region north of the purple circle (70°N) denotes the Arctic for the purposes of the present study. </w:t>
      </w:r>
    </w:p>
    <w:p w14:paraId="45E1B55A" w14:textId="77777777" w:rsidR="00007712" w:rsidRDefault="00007712" w:rsidP="00007712">
      <w:pPr>
        <w:ind w:firstLine="0"/>
      </w:pPr>
    </w:p>
    <w:p w14:paraId="3CE3FF9C" w14:textId="164E109A" w:rsidR="008C74EE" w:rsidRDefault="008C74EE" w:rsidP="008C74EE">
      <w:pPr>
        <w:pStyle w:val="ParagraphText"/>
      </w:pPr>
      <w:r>
        <w:t xml:space="preserve">The RMSE of </w:t>
      </w:r>
      <w:r w:rsidR="009B5F4A">
        <w:t xml:space="preserve">the </w:t>
      </w:r>
      <w:r>
        <w:t xml:space="preserve">day-5 </w:t>
      </w:r>
      <w:r w:rsidR="009B5F4A">
        <w:t xml:space="preserve">forecasts of </w:t>
      </w:r>
      <w:r>
        <w:t>500-hPa geopotential height is first calculated at each grid point (</w:t>
      </w:r>
      <w:r w:rsidRPr="00EA1DD0">
        <w:rPr>
          <w:i/>
        </w:rPr>
        <w:t>k</w:t>
      </w:r>
      <w:r>
        <w:t xml:space="preserve">) over the Arctic via </w:t>
      </w:r>
    </w:p>
    <w:p w14:paraId="0096E8EE" w14:textId="2E9B83FB" w:rsidR="008C74EE" w:rsidRPr="00074782" w:rsidRDefault="00A54AD0" w:rsidP="008C74EE">
      <w:pPr>
        <w:spacing w:line="480" w:lineRule="auto"/>
        <w:jc w:val="right"/>
      </w:pPr>
      <m:oMath>
        <m:r>
          <m:rPr>
            <m:sty m:val="p"/>
          </m:rPr>
          <w:rPr>
            <w:rFonts w:ascii="Cambria Math" w:hAnsi="Cambria Math"/>
          </w:rPr>
          <m:t>RMSE</m:t>
        </m:r>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 xml:space="preserve">N </m:t>
                </m:r>
              </m:den>
            </m:f>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rPr>
                          <m:t>(k)-O(k)</m:t>
                        </m:r>
                      </m:e>
                    </m:d>
                  </m:e>
                  <m:sup>
                    <m:r>
                      <w:rPr>
                        <w:rFonts w:ascii="Cambria Math" w:hAnsi="Cambria Math"/>
                      </w:rPr>
                      <m:t>2</m:t>
                    </m:r>
                  </m:sup>
                </m:sSup>
              </m:e>
            </m:nary>
          </m:e>
        </m:rad>
      </m:oMath>
      <w:r w:rsidR="008C74EE" w:rsidRPr="00074782">
        <w:t xml:space="preserve"> </w:t>
      </w:r>
      <w:proofErr w:type="gramStart"/>
      <w:r w:rsidR="008C74EE" w:rsidRPr="00074782">
        <w:t xml:space="preserve">,   </w:t>
      </w:r>
      <w:proofErr w:type="gramEnd"/>
      <w:r w:rsidR="008C74EE" w:rsidRPr="00074782">
        <w:t xml:space="preserve">        </w:t>
      </w:r>
      <w:r w:rsidR="008C74EE">
        <w:t xml:space="preserve">                                   </w:t>
      </w:r>
      <w:r w:rsidR="008C74EE" w:rsidRPr="00074782">
        <w:t>(1)</w:t>
      </w:r>
    </w:p>
    <w:p w14:paraId="397F6F88" w14:textId="1EAB9008" w:rsidR="008C74EE" w:rsidRPr="00851A9D" w:rsidRDefault="008C74EE" w:rsidP="00FE79C0">
      <w:pPr>
        <w:ind w:firstLine="0"/>
        <w:rPr>
          <w:color w:val="0000FF"/>
        </w:rPr>
      </w:pPr>
      <w:r>
        <w:t xml:space="preserve">where </w:t>
      </w:r>
      <w:r w:rsidRPr="00EA1DD0">
        <w:rPr>
          <w:i/>
        </w:rPr>
        <w:t>N</w:t>
      </w:r>
      <w:r>
        <w:t xml:space="preserve"> denotes the number of ensemble members (i.e., 11), </w:t>
      </w:r>
      <w:r w:rsidRPr="00EA1DD0">
        <w:rPr>
          <w:i/>
        </w:rPr>
        <w:t>n</w:t>
      </w:r>
      <w:r>
        <w:t xml:space="preserve"> denotes the nth ensemble member, </w:t>
      </w:r>
      <w:proofErr w:type="spellStart"/>
      <w:r w:rsidRPr="00EA1DD0">
        <w:rPr>
          <w:i/>
        </w:rPr>
        <w:t>f</w:t>
      </w:r>
      <w:r w:rsidRPr="00943167">
        <w:rPr>
          <w:i/>
          <w:vertAlign w:val="subscript"/>
        </w:rPr>
        <w:t>n</w:t>
      </w:r>
      <w:proofErr w:type="spellEnd"/>
      <w:r>
        <w:t xml:space="preserve"> denotes the 500-hPa geopotential height from the nth ensemble member, and </w:t>
      </w:r>
      <w:r w:rsidRPr="00EA1DD0">
        <w:rPr>
          <w:i/>
        </w:rPr>
        <w:t>O</w:t>
      </w:r>
      <w:r>
        <w:t xml:space="preserve"> denotes the 500-hPa geopotential height from ERA-Interim (Dee et al. 2011) at 1° horizontal </w:t>
      </w:r>
      <w:r w:rsidR="00311484">
        <w:t xml:space="preserve">grid </w:t>
      </w:r>
      <w:r w:rsidR="00FD3170">
        <w:t>spacing</w:t>
      </w:r>
      <w:r>
        <w:t xml:space="preserve">. After the RMSE is calculated at each grid point over the Arctic, the RMSE values are area-averaged over the Arctic to obtain an area-averaged RMSE value. </w:t>
      </w:r>
      <w:r>
        <w:lastRenderedPageBreak/>
        <w:t>Standardized anomalies of area-averaged RMSE, hereafter referred to as σ</w:t>
      </w:r>
      <w:r w:rsidRPr="008C74EE">
        <w:rPr>
          <w:vertAlign w:val="subscript"/>
        </w:rPr>
        <w:t>RMSE</w:t>
      </w:r>
      <w:r w:rsidR="0005651E">
        <w:t xml:space="preserve">, relative to a </w:t>
      </w:r>
      <w:r>
        <w:t>1985–2017 climatology of area-averaged RMSE</w:t>
      </w:r>
      <w:r w:rsidR="003C50FC">
        <w:t>,</w:t>
      </w:r>
      <w:r>
        <w:t xml:space="preserve"> are then calculated following the approach used by Moore [2017, section </w:t>
      </w:r>
      <w:r w:rsidR="00A617D5">
        <w:t>4</w:t>
      </w:r>
      <w:proofErr w:type="gramStart"/>
      <w:r>
        <w:t>b(</w:t>
      </w:r>
      <w:proofErr w:type="gramEnd"/>
      <w:r>
        <w:t>3)].</w:t>
      </w:r>
      <w:r w:rsidR="009822F9">
        <w:t xml:space="preserve"> </w:t>
      </w:r>
      <w:r w:rsidR="009822F9" w:rsidRPr="00293540">
        <w:rPr>
          <w:szCs w:val="24"/>
        </w:rPr>
        <w:t>This approach consists of subtracting the climatological mean of area-averaged RMSE from each value of area-average</w:t>
      </w:r>
      <w:r w:rsidR="00851A9D" w:rsidRPr="00293540">
        <w:rPr>
          <w:szCs w:val="24"/>
        </w:rPr>
        <w:t>d</w:t>
      </w:r>
      <w:r w:rsidR="009822F9" w:rsidRPr="00293540">
        <w:rPr>
          <w:szCs w:val="24"/>
        </w:rPr>
        <w:t xml:space="preserve"> RMSE and then dividing by the climatological standard deviation of area-averaged RMSE, where the climatological mean and climatological standard deviation are smoothed by retaining only the first four harmonics of the annual cycle </w:t>
      </w:r>
      <w:r w:rsidR="00293540">
        <w:rPr>
          <w:szCs w:val="24"/>
        </w:rPr>
        <w:t>determined from</w:t>
      </w:r>
      <w:r w:rsidR="009822F9" w:rsidRPr="00293540">
        <w:rPr>
          <w:szCs w:val="24"/>
        </w:rPr>
        <w:t xml:space="preserve"> a Fourier analysis.</w:t>
      </w:r>
      <w:r w:rsidR="00963D15" w:rsidRPr="00A00C64">
        <w:rPr>
          <w:color w:val="000000" w:themeColor="text1"/>
        </w:rPr>
        <w:t xml:space="preserve"> </w:t>
      </w:r>
      <w:r w:rsidR="00963D15">
        <w:rPr>
          <w:color w:val="000000" w:themeColor="text1"/>
        </w:rPr>
        <w:t xml:space="preserve">In addition to calculating area-averaged RMSE </w:t>
      </w:r>
      <w:r w:rsidR="00963D15" w:rsidRPr="004103C1">
        <w:rPr>
          <w:color w:val="000000" w:themeColor="text1"/>
        </w:rPr>
        <w:t>and σ</w:t>
      </w:r>
      <w:r w:rsidR="00963D15" w:rsidRPr="004103C1">
        <w:rPr>
          <w:color w:val="000000" w:themeColor="text1"/>
          <w:vertAlign w:val="subscript"/>
        </w:rPr>
        <w:t>RMSE</w:t>
      </w:r>
      <w:r w:rsidR="00963D15" w:rsidRPr="004103C1">
        <w:rPr>
          <w:color w:val="000000" w:themeColor="text1"/>
        </w:rPr>
        <w:t xml:space="preserve"> </w:t>
      </w:r>
      <w:r w:rsidR="00963D15">
        <w:rPr>
          <w:color w:val="000000" w:themeColor="text1"/>
        </w:rPr>
        <w:t>for the day-5 forecast lead time, a</w:t>
      </w:r>
      <w:r w:rsidR="00963D15" w:rsidRPr="00A00C64">
        <w:rPr>
          <w:color w:val="000000" w:themeColor="text1"/>
        </w:rPr>
        <w:t>rea-averaged RMSE and σ</w:t>
      </w:r>
      <w:r w:rsidR="00963D15" w:rsidRPr="00A00C64">
        <w:rPr>
          <w:color w:val="000000" w:themeColor="text1"/>
          <w:vertAlign w:val="subscript"/>
        </w:rPr>
        <w:t>RMSE</w:t>
      </w:r>
      <w:r w:rsidR="00963D15" w:rsidRPr="00A00C64">
        <w:rPr>
          <w:color w:val="000000" w:themeColor="text1"/>
        </w:rPr>
        <w:t xml:space="preserve"> </w:t>
      </w:r>
      <w:r w:rsidR="00EB4249">
        <w:rPr>
          <w:color w:val="000000" w:themeColor="text1"/>
        </w:rPr>
        <w:t>are</w:t>
      </w:r>
      <w:r w:rsidR="00963D15" w:rsidRPr="00A00C64">
        <w:rPr>
          <w:color w:val="000000" w:themeColor="text1"/>
        </w:rPr>
        <w:t xml:space="preserve"> also calculated for </w:t>
      </w:r>
      <w:r w:rsidR="00963D15">
        <w:rPr>
          <w:color w:val="000000" w:themeColor="text1"/>
        </w:rPr>
        <w:t xml:space="preserve">all other </w:t>
      </w:r>
      <w:r w:rsidR="00963D15" w:rsidRPr="00A00C64">
        <w:rPr>
          <w:color w:val="000000" w:themeColor="text1"/>
        </w:rPr>
        <w:t>forecast lead times of 0–5.5 days, every 0.5 days, in order to examine the evolution of forecast skill during days 0–5.5.</w:t>
      </w:r>
    </w:p>
    <w:p w14:paraId="7144BFCD" w14:textId="0653ED9A" w:rsidR="00170A72" w:rsidRDefault="008C74EE" w:rsidP="009802B4">
      <w:r w:rsidRPr="00074782">
        <w:t>Forecasts associated with the top and bottom 10% of σ</w:t>
      </w:r>
      <w:r w:rsidRPr="00074782">
        <w:rPr>
          <w:vertAlign w:val="subscript"/>
        </w:rPr>
        <w:t>RMSE</w:t>
      </w:r>
      <w:r w:rsidRPr="00074782">
        <w:t xml:space="preserve"> at day 5 are referred to as low-skill forecasts and high-skill forecasts, respectively. There are 101 low-skill forecasts and 101 high-skill forecasts. Time periods extending from day 0 through day 5 that are encompassed by low-skill forecasts and high-skill forecasts </w:t>
      </w:r>
      <w:r w:rsidR="00293540">
        <w:t>correspond to</w:t>
      </w:r>
      <w:r w:rsidR="009822F9">
        <w:t xml:space="preserve"> the</w:t>
      </w:r>
      <w:r w:rsidRPr="00074782">
        <w:t xml:space="preserve"> low-skill periods and high-skill periods, respectively</w:t>
      </w:r>
      <w:r w:rsidR="009822F9">
        <w:t>, that were defined in section 1</w:t>
      </w:r>
      <w:r w:rsidRPr="00074782">
        <w:t xml:space="preserve">. There are instances in which a given low-skill period may overlap a given high-skill period when these periods occur in relatively short succession, resulting in some days occurring during both a low-skill period and a high-skill period, hereafter referred to as overlapping days. </w:t>
      </w:r>
      <w:r w:rsidR="00671469" w:rsidRPr="00074782">
        <w:t>In order to avoid including an overlapping day in both a low-skill period and a high-skill period, the overlapping day is assigned to the period that occurs earlier. There were 345 days and 297 days originally determined to occur during low-skill periods and high-skill periods, respectively. Subsequently, 17 overlapping days were removed from low-skill periods, resulting in a total of 328 days during low-skill periods</w:t>
      </w:r>
      <w:r w:rsidR="00B6142B">
        <w:t xml:space="preserve"> (Table 1)</w:t>
      </w:r>
      <w:r w:rsidR="00671469" w:rsidRPr="00074782">
        <w:t>, and 16 overlapping days were removed from high-skill periods, resulting in a total of 281 days dur</w:t>
      </w:r>
      <w:r w:rsidR="00671469">
        <w:t xml:space="preserve">ing high-skill periods (Table </w:t>
      </w:r>
      <w:r w:rsidR="00671469" w:rsidRPr="00074782">
        <w:t xml:space="preserve">1). </w:t>
      </w:r>
      <w:r w:rsidR="00AA262F">
        <w:t>Time periods extending from</w:t>
      </w:r>
      <w:r w:rsidR="00AA262F" w:rsidRPr="00FE0230">
        <w:t xml:space="preserve"> day 0 through day 5 that are encompassed by all forecasts initialized during the summers of 2007–2017 </w:t>
      </w:r>
      <w:r w:rsidR="00AA262F">
        <w:t>are collectively referred to as</w:t>
      </w:r>
      <w:r w:rsidR="0023303A">
        <w:t xml:space="preserve"> “the 200</w:t>
      </w:r>
      <w:r w:rsidR="0047473A">
        <w:t>7–2017 climatological period.”</w:t>
      </w:r>
      <w:r w:rsidR="00AA262F" w:rsidRPr="00FE0230">
        <w:t xml:space="preserve"> There are</w:t>
      </w:r>
      <w:r w:rsidR="00444302">
        <w:t xml:space="preserve"> a total of 1067 days during</w:t>
      </w:r>
      <w:r w:rsidR="0023303A">
        <w:t xml:space="preserve"> the 200</w:t>
      </w:r>
      <w:r w:rsidR="00AA262F" w:rsidRPr="00FE0230">
        <w:t>7–2017 climatological period (Table 1).</w:t>
      </w:r>
    </w:p>
    <w:p w14:paraId="3701152E" w14:textId="77777777" w:rsidR="00007712" w:rsidRDefault="00007712" w:rsidP="00816E83">
      <w:pPr>
        <w:ind w:firstLine="0"/>
      </w:pPr>
    </w:p>
    <w:p w14:paraId="4AEAD024" w14:textId="77777777" w:rsidR="00C24929" w:rsidRDefault="00C24929" w:rsidP="00816E83">
      <w:pPr>
        <w:ind w:firstLine="0"/>
      </w:pPr>
    </w:p>
    <w:p w14:paraId="16FABAF6" w14:textId="77777777" w:rsidR="00C24929" w:rsidRDefault="00C24929" w:rsidP="00816E83">
      <w:pPr>
        <w:ind w:firstLine="0"/>
      </w:pPr>
    </w:p>
    <w:tbl>
      <w:tblPr>
        <w:tblStyle w:val="TableGrid2"/>
        <w:tblW w:w="0" w:type="auto"/>
        <w:tblInd w:w="108" w:type="dxa"/>
        <w:tblLook w:val="04A0" w:firstRow="1" w:lastRow="0" w:firstColumn="1" w:lastColumn="0" w:noHBand="0" w:noVBand="1"/>
      </w:tblPr>
      <w:tblGrid>
        <w:gridCol w:w="2143"/>
        <w:gridCol w:w="2305"/>
        <w:gridCol w:w="2230"/>
        <w:gridCol w:w="2230"/>
      </w:tblGrid>
      <w:tr w:rsidR="00744DC0" w:rsidRPr="00744DC0" w14:paraId="7D15E745" w14:textId="77777777" w:rsidTr="004103C1">
        <w:tc>
          <w:tcPr>
            <w:tcW w:w="2201" w:type="dxa"/>
          </w:tcPr>
          <w:p w14:paraId="529688D8" w14:textId="77777777" w:rsidR="00744DC0" w:rsidRPr="00744DC0" w:rsidRDefault="00744DC0" w:rsidP="00744DC0">
            <w:pPr>
              <w:snapToGrid/>
              <w:spacing w:before="0" w:after="0" w:line="240" w:lineRule="auto"/>
              <w:ind w:firstLine="0"/>
            </w:pPr>
          </w:p>
        </w:tc>
        <w:tc>
          <w:tcPr>
            <w:tcW w:w="2341" w:type="dxa"/>
            <w:vAlign w:val="bottom"/>
          </w:tcPr>
          <w:p w14:paraId="740CBA28" w14:textId="77777777" w:rsidR="00744DC0" w:rsidRPr="00744DC0" w:rsidRDefault="00744DC0" w:rsidP="00744DC0">
            <w:pPr>
              <w:snapToGrid/>
              <w:spacing w:before="0" w:after="0" w:line="240" w:lineRule="auto"/>
              <w:ind w:firstLine="0"/>
              <w:jc w:val="center"/>
            </w:pPr>
            <w:r w:rsidRPr="00744DC0">
              <w:t>The 2007–2017 climatological period</w:t>
            </w:r>
          </w:p>
        </w:tc>
        <w:tc>
          <w:tcPr>
            <w:tcW w:w="2296" w:type="dxa"/>
            <w:vAlign w:val="bottom"/>
          </w:tcPr>
          <w:p w14:paraId="274E92C2" w14:textId="77777777" w:rsidR="00744DC0" w:rsidRPr="00744DC0" w:rsidRDefault="00744DC0" w:rsidP="00744DC0">
            <w:pPr>
              <w:snapToGrid/>
              <w:spacing w:before="0" w:after="0" w:line="240" w:lineRule="auto"/>
              <w:ind w:firstLine="0"/>
              <w:jc w:val="center"/>
            </w:pPr>
            <w:r w:rsidRPr="00744DC0">
              <w:t>Low-skill periods</w:t>
            </w:r>
          </w:p>
        </w:tc>
        <w:tc>
          <w:tcPr>
            <w:tcW w:w="2296" w:type="dxa"/>
            <w:vAlign w:val="bottom"/>
          </w:tcPr>
          <w:p w14:paraId="0C60EAA1" w14:textId="77777777" w:rsidR="00744DC0" w:rsidRPr="00744DC0" w:rsidRDefault="00744DC0" w:rsidP="00744DC0">
            <w:pPr>
              <w:snapToGrid/>
              <w:spacing w:before="0" w:after="0" w:line="240" w:lineRule="auto"/>
              <w:ind w:firstLine="0"/>
              <w:jc w:val="center"/>
            </w:pPr>
            <w:r w:rsidRPr="00744DC0">
              <w:t>High-skill periods</w:t>
            </w:r>
          </w:p>
        </w:tc>
      </w:tr>
      <w:tr w:rsidR="00744DC0" w:rsidRPr="00744DC0" w14:paraId="30291E44" w14:textId="77777777" w:rsidTr="004103C1">
        <w:tc>
          <w:tcPr>
            <w:tcW w:w="2201" w:type="dxa"/>
          </w:tcPr>
          <w:p w14:paraId="4C563887" w14:textId="77777777" w:rsidR="00744DC0" w:rsidRPr="00744DC0" w:rsidRDefault="00744DC0" w:rsidP="00744DC0">
            <w:pPr>
              <w:snapToGrid/>
              <w:spacing w:before="0" w:after="0" w:line="240" w:lineRule="auto"/>
              <w:ind w:firstLine="0"/>
              <w:jc w:val="right"/>
            </w:pPr>
            <w:r w:rsidRPr="00744DC0">
              <w:t>Number of days</w:t>
            </w:r>
          </w:p>
        </w:tc>
        <w:tc>
          <w:tcPr>
            <w:tcW w:w="2341" w:type="dxa"/>
          </w:tcPr>
          <w:p w14:paraId="22C373A1" w14:textId="77777777" w:rsidR="00744DC0" w:rsidRPr="00744DC0" w:rsidRDefault="00744DC0" w:rsidP="00744DC0">
            <w:pPr>
              <w:snapToGrid/>
              <w:spacing w:before="0" w:after="0" w:line="240" w:lineRule="auto"/>
              <w:ind w:firstLine="0"/>
              <w:jc w:val="center"/>
            </w:pPr>
            <w:r w:rsidRPr="00744DC0">
              <w:t>1067</w:t>
            </w:r>
          </w:p>
        </w:tc>
        <w:tc>
          <w:tcPr>
            <w:tcW w:w="2296" w:type="dxa"/>
          </w:tcPr>
          <w:p w14:paraId="3F37A022" w14:textId="77777777" w:rsidR="00744DC0" w:rsidRPr="00744DC0" w:rsidRDefault="00744DC0" w:rsidP="00744DC0">
            <w:pPr>
              <w:snapToGrid/>
              <w:spacing w:before="0" w:after="0" w:line="240" w:lineRule="auto"/>
              <w:ind w:firstLine="0"/>
              <w:jc w:val="center"/>
            </w:pPr>
            <w:r w:rsidRPr="00744DC0">
              <w:t>328</w:t>
            </w:r>
          </w:p>
        </w:tc>
        <w:tc>
          <w:tcPr>
            <w:tcW w:w="2296" w:type="dxa"/>
          </w:tcPr>
          <w:p w14:paraId="54071E7A" w14:textId="77777777" w:rsidR="00744DC0" w:rsidRPr="00744DC0" w:rsidRDefault="00744DC0" w:rsidP="00744DC0">
            <w:pPr>
              <w:snapToGrid/>
              <w:spacing w:before="0" w:after="0" w:line="240" w:lineRule="auto"/>
              <w:ind w:firstLine="0"/>
              <w:jc w:val="center"/>
            </w:pPr>
            <w:r w:rsidRPr="00744DC0">
              <w:t>281</w:t>
            </w:r>
          </w:p>
        </w:tc>
      </w:tr>
      <w:tr w:rsidR="00744DC0" w:rsidRPr="00744DC0" w14:paraId="780BB85C" w14:textId="77777777" w:rsidTr="004103C1">
        <w:tc>
          <w:tcPr>
            <w:tcW w:w="2201" w:type="dxa"/>
          </w:tcPr>
          <w:p w14:paraId="347AD86B" w14:textId="77777777" w:rsidR="00744DC0" w:rsidRPr="00744DC0" w:rsidRDefault="00744DC0" w:rsidP="00744DC0">
            <w:pPr>
              <w:snapToGrid/>
              <w:spacing w:before="0" w:after="0" w:line="240" w:lineRule="auto"/>
              <w:ind w:firstLine="0"/>
              <w:jc w:val="right"/>
            </w:pPr>
            <w:r w:rsidRPr="00744DC0">
              <w:t>Number of ACs</w:t>
            </w:r>
          </w:p>
        </w:tc>
        <w:tc>
          <w:tcPr>
            <w:tcW w:w="2341" w:type="dxa"/>
          </w:tcPr>
          <w:p w14:paraId="67CD3FCF" w14:textId="77777777" w:rsidR="00744DC0" w:rsidRPr="00744DC0" w:rsidRDefault="00744DC0" w:rsidP="00744DC0">
            <w:pPr>
              <w:snapToGrid/>
              <w:spacing w:before="0" w:after="0" w:line="240" w:lineRule="auto"/>
              <w:ind w:firstLine="0"/>
              <w:jc w:val="center"/>
            </w:pPr>
            <w:r w:rsidRPr="00744DC0">
              <w:t>665</w:t>
            </w:r>
          </w:p>
        </w:tc>
        <w:tc>
          <w:tcPr>
            <w:tcW w:w="2296" w:type="dxa"/>
          </w:tcPr>
          <w:p w14:paraId="4815D838" w14:textId="77777777" w:rsidR="00744DC0" w:rsidRPr="00744DC0" w:rsidRDefault="00744DC0" w:rsidP="00744DC0">
            <w:pPr>
              <w:snapToGrid/>
              <w:spacing w:before="0" w:after="0" w:line="240" w:lineRule="auto"/>
              <w:ind w:firstLine="0"/>
              <w:jc w:val="center"/>
            </w:pPr>
            <w:r w:rsidRPr="00744DC0">
              <w:t>283</w:t>
            </w:r>
          </w:p>
        </w:tc>
        <w:tc>
          <w:tcPr>
            <w:tcW w:w="2296" w:type="dxa"/>
          </w:tcPr>
          <w:p w14:paraId="0914A507" w14:textId="77777777" w:rsidR="00744DC0" w:rsidRPr="00744DC0" w:rsidRDefault="00744DC0" w:rsidP="00744DC0">
            <w:pPr>
              <w:snapToGrid/>
              <w:spacing w:before="0" w:after="0" w:line="240" w:lineRule="auto"/>
              <w:ind w:firstLine="0"/>
              <w:jc w:val="center"/>
            </w:pPr>
            <w:r w:rsidRPr="00744DC0">
              <w:t>182</w:t>
            </w:r>
          </w:p>
        </w:tc>
      </w:tr>
    </w:tbl>
    <w:p w14:paraId="4FE3B7C0" w14:textId="77777777" w:rsidR="00007712" w:rsidRDefault="00007712" w:rsidP="00007712">
      <w:pPr>
        <w:spacing w:before="0" w:after="0" w:line="240" w:lineRule="auto"/>
        <w:ind w:firstLine="0"/>
      </w:pPr>
    </w:p>
    <w:p w14:paraId="7205B2A4" w14:textId="77777777" w:rsidR="00007712" w:rsidRPr="00007712" w:rsidRDefault="00007712" w:rsidP="00007712">
      <w:pPr>
        <w:spacing w:before="0" w:after="0" w:line="240" w:lineRule="auto"/>
        <w:ind w:firstLine="0"/>
      </w:pPr>
      <w:r w:rsidRPr="00007712">
        <w:t>Table 1. Number of days and ACs during the 2007–2017 climatological period, low-skill periods, and high-skill periods.</w:t>
      </w:r>
    </w:p>
    <w:p w14:paraId="60F268AD" w14:textId="77777777" w:rsidR="00007712" w:rsidRPr="00883784" w:rsidRDefault="00007712" w:rsidP="00816E83">
      <w:pPr>
        <w:ind w:firstLine="0"/>
      </w:pPr>
    </w:p>
    <w:p w14:paraId="18294BD4" w14:textId="1D4E99D3" w:rsidR="00B36F8E" w:rsidRPr="00B36F8E" w:rsidRDefault="00B36F8E" w:rsidP="00B36F8E">
      <w:pPr>
        <w:pStyle w:val="H2"/>
        <w:rPr>
          <w:szCs w:val="24"/>
        </w:rPr>
      </w:pPr>
      <w:r>
        <w:rPr>
          <w:szCs w:val="24"/>
        </w:rPr>
        <w:t>b</w:t>
      </w:r>
      <w:r w:rsidRPr="00B36F8E">
        <w:rPr>
          <w:szCs w:val="24"/>
        </w:rPr>
        <w:t>. Identification of ACs</w:t>
      </w:r>
    </w:p>
    <w:p w14:paraId="7632512F" w14:textId="21F8919F" w:rsidR="00B36F8E" w:rsidRPr="00757713" w:rsidRDefault="00757713" w:rsidP="00757713">
      <w:pPr>
        <w:pStyle w:val="ParagraphText"/>
      </w:pPr>
      <w:r w:rsidRPr="006266F2">
        <w:t>An objective SLP-based cyclone tracking algorithm developed by Crawford et al. (2021)</w:t>
      </w:r>
      <w:r>
        <w:t xml:space="preserve"> is used to track </w:t>
      </w:r>
      <w:r w:rsidR="00386910" w:rsidRPr="00074782">
        <w:t>cyclones</w:t>
      </w:r>
      <w:r>
        <w:t xml:space="preserve"> every 6 h</w:t>
      </w:r>
      <w:r w:rsidR="00386910" w:rsidRPr="00074782">
        <w:t xml:space="preserve"> </w:t>
      </w:r>
      <w:r>
        <w:t>over the Northern Hemisphere</w:t>
      </w:r>
      <w:r w:rsidR="00163F86">
        <w:t>.</w:t>
      </w:r>
      <w:r w:rsidR="00732560">
        <w:t xml:space="preserve"> </w:t>
      </w:r>
      <w:r w:rsidR="00163F86" w:rsidRPr="00163F86">
        <w:t xml:space="preserve">ERA-Interim SLP data at 1° horizontal </w:t>
      </w:r>
      <w:r w:rsidR="00311484">
        <w:t xml:space="preserve">grid </w:t>
      </w:r>
      <w:r w:rsidR="006E4336">
        <w:t>spacing</w:t>
      </w:r>
      <w:r w:rsidR="00163F86" w:rsidRPr="00163F86">
        <w:t xml:space="preserve"> that is </w:t>
      </w:r>
      <w:proofErr w:type="spellStart"/>
      <w:r w:rsidR="00163F86" w:rsidRPr="00163F86">
        <w:t>regridded</w:t>
      </w:r>
      <w:proofErr w:type="spellEnd"/>
      <w:r w:rsidR="00163F86" w:rsidRPr="00163F86">
        <w:t xml:space="preserve"> to a 50-km north-polar Lambert azimuthal equal-area grid (</w:t>
      </w:r>
      <w:proofErr w:type="spellStart"/>
      <w:r w:rsidR="00163F86" w:rsidRPr="00163F86">
        <w:t>Brodzik</w:t>
      </w:r>
      <w:proofErr w:type="spellEnd"/>
      <w:r w:rsidR="00163F86" w:rsidRPr="00163F86">
        <w:t xml:space="preserve"> et al. 2012) is used as input for the tracking algorithm</w:t>
      </w:r>
      <w:r w:rsidR="00732560">
        <w:t>.</w:t>
      </w:r>
      <w:r w:rsidR="00386910">
        <w:t xml:space="preserve"> ACs in the present study </w:t>
      </w:r>
      <w:r w:rsidR="00386910" w:rsidRPr="00074782">
        <w:t xml:space="preserve">are identified as cyclones that have a lifetime of ≥ 48 h and spend at least 6 h </w:t>
      </w:r>
      <w:r w:rsidR="009822F9">
        <w:t xml:space="preserve">within the Arctic </w:t>
      </w:r>
      <w:bookmarkStart w:id="2" w:name="_Hlk113452675"/>
      <w:r w:rsidR="009822F9">
        <w:t>(</w:t>
      </w:r>
      <w:r w:rsidR="001F1D89">
        <w:t>&gt;</w:t>
      </w:r>
      <w:r w:rsidR="00386910">
        <w:t xml:space="preserve"> 70°N</w:t>
      </w:r>
      <w:r w:rsidR="009822F9">
        <w:t>)</w:t>
      </w:r>
      <w:bookmarkEnd w:id="2"/>
      <w:r w:rsidR="00386910" w:rsidRPr="00074782">
        <w:t>. Th</w:t>
      </w:r>
      <w:r w:rsidR="00612752">
        <w:t>is</w:t>
      </w:r>
      <w:r w:rsidR="00386910" w:rsidRPr="00074782">
        <w:t xml:space="preserve"> latitudinal requirement is the same as that used by Simmonds and </w:t>
      </w:r>
      <w:proofErr w:type="spellStart"/>
      <w:r w:rsidR="00386910" w:rsidRPr="00074782">
        <w:t>Rudeva</w:t>
      </w:r>
      <w:proofErr w:type="spellEnd"/>
      <w:r w:rsidR="00386910" w:rsidRPr="00074782">
        <w:t xml:space="preserve"> (2012, 2014) to identify ACs. All ACs that occur at any time</w:t>
      </w:r>
      <w:r w:rsidR="004517F3">
        <w:t xml:space="preserve"> within the Arctic</w:t>
      </w:r>
      <w:r w:rsidR="00386910" w:rsidRPr="00074782">
        <w:t xml:space="preserve"> during the </w:t>
      </w:r>
      <w:r w:rsidR="00BF0162">
        <w:t xml:space="preserve">2007–2017 </w:t>
      </w:r>
      <w:r w:rsidR="00386910" w:rsidRPr="00074782">
        <w:t>climatolog</w:t>
      </w:r>
      <w:r w:rsidR="00BF0162">
        <w:t>ical period</w:t>
      </w:r>
      <w:r w:rsidR="00386910" w:rsidRPr="00074782">
        <w:t xml:space="preserve">, low-skill periods, and high-skill periods are </w:t>
      </w:r>
      <w:r w:rsidR="00386910">
        <w:t>identified.</w:t>
      </w:r>
      <w:r w:rsidR="004517F3">
        <w:t xml:space="preserve"> </w:t>
      </w:r>
      <w:r w:rsidR="00386910" w:rsidRPr="00074782">
        <w:t xml:space="preserve">There are </w:t>
      </w:r>
      <w:r w:rsidR="00732560">
        <w:t>665</w:t>
      </w:r>
      <w:r w:rsidR="00386910" w:rsidRPr="00074782">
        <w:t xml:space="preserve"> ACs during the </w:t>
      </w:r>
      <w:r w:rsidR="00BF0162">
        <w:t xml:space="preserve">2007–2017 </w:t>
      </w:r>
      <w:r w:rsidR="00386910" w:rsidRPr="00074782">
        <w:t>climatolog</w:t>
      </w:r>
      <w:r w:rsidR="00BF0162">
        <w:t>ical period</w:t>
      </w:r>
      <w:r w:rsidR="00386910" w:rsidRPr="00074782">
        <w:t>, 2</w:t>
      </w:r>
      <w:r w:rsidR="00732560">
        <w:t>83</w:t>
      </w:r>
      <w:r w:rsidR="00386910" w:rsidRPr="00074782">
        <w:t xml:space="preserve"> ACs during low-skill periods, and </w:t>
      </w:r>
      <w:r w:rsidR="00732560">
        <w:t>182</w:t>
      </w:r>
      <w:r w:rsidR="00386910" w:rsidRPr="00074782">
        <w:t xml:space="preserve"> ACs during high-skill perio</w:t>
      </w:r>
      <w:r w:rsidR="00386910">
        <w:t xml:space="preserve">ds (Table </w:t>
      </w:r>
      <w:r w:rsidR="00386910" w:rsidRPr="00074782">
        <w:t>1).</w:t>
      </w:r>
    </w:p>
    <w:p w14:paraId="40CF479A" w14:textId="504C0CED" w:rsidR="00B36F8E" w:rsidRPr="00B36F8E" w:rsidRDefault="00B36F8E" w:rsidP="00D061BC">
      <w:pPr>
        <w:pStyle w:val="H2"/>
        <w:rPr>
          <w:szCs w:val="24"/>
        </w:rPr>
      </w:pPr>
      <w:r>
        <w:rPr>
          <w:szCs w:val="24"/>
        </w:rPr>
        <w:t>c</w:t>
      </w:r>
      <w:r w:rsidRPr="00B36F8E">
        <w:rPr>
          <w:szCs w:val="24"/>
        </w:rPr>
        <w:t>. Characteristics of the Arctic environment and ACs</w:t>
      </w:r>
    </w:p>
    <w:p w14:paraId="45B8A09E" w14:textId="36CD44A6" w:rsidR="00346CF0" w:rsidRPr="00427E2F" w:rsidRDefault="00780C6F" w:rsidP="00427E2F">
      <w:pPr>
        <w:rPr>
          <w:szCs w:val="24"/>
        </w:rPr>
      </w:pPr>
      <w:r>
        <w:rPr>
          <w:szCs w:val="24"/>
        </w:rPr>
        <w:t>S</w:t>
      </w:r>
      <w:r>
        <w:t>elected dynamic and thermodynamic quantities are calculated using the</w:t>
      </w:r>
      <w:r w:rsidR="00CB3F0E">
        <w:t xml:space="preserve"> 6-hourly</w:t>
      </w:r>
      <w:r>
        <w:t xml:space="preserve"> </w:t>
      </w:r>
      <w:bookmarkStart w:id="3" w:name="_Hlk100748649"/>
      <w:r>
        <w:t>1° ERA-Interim</w:t>
      </w:r>
      <w:bookmarkEnd w:id="3"/>
      <w:r>
        <w:t xml:space="preserve"> dataset to characterize the Arctic environment and ACs.</w:t>
      </w:r>
      <w:r w:rsidRPr="00780C6F">
        <w:t xml:space="preserve"> </w:t>
      </w:r>
      <w:r w:rsidR="00427E2F" w:rsidRPr="00427E2F">
        <w:rPr>
          <w:szCs w:val="24"/>
        </w:rPr>
        <w:t>Although the ERA5 dataset (</w:t>
      </w:r>
      <w:proofErr w:type="spellStart"/>
      <w:r w:rsidR="00427E2F" w:rsidRPr="00427E2F">
        <w:rPr>
          <w:szCs w:val="24"/>
        </w:rPr>
        <w:t>Hersbach</w:t>
      </w:r>
      <w:proofErr w:type="spellEnd"/>
      <w:r w:rsidR="00427E2F" w:rsidRPr="00427E2F">
        <w:rPr>
          <w:szCs w:val="24"/>
        </w:rPr>
        <w:t xml:space="preserve"> et al. 2020) could be used, the present study</w:t>
      </w:r>
      <w:r w:rsidR="00427E2F">
        <w:rPr>
          <w:szCs w:val="24"/>
        </w:rPr>
        <w:t xml:space="preserve"> will focus</w:t>
      </w:r>
      <w:r w:rsidR="00427E2F" w:rsidRPr="00427E2F">
        <w:rPr>
          <w:szCs w:val="24"/>
        </w:rPr>
        <w:t xml:space="preserve"> on comparisons of area-averages of selected dynamic and thermodynamic quantities between low-skill periods and high-skill periods, which are expected to yield consistent results between ERA-Interim and ERA5 even if there are differences in the magnitude of </w:t>
      </w:r>
      <w:r w:rsidR="009C38DF">
        <w:rPr>
          <w:szCs w:val="24"/>
        </w:rPr>
        <w:t xml:space="preserve">the </w:t>
      </w:r>
      <w:r w:rsidR="009C38DF" w:rsidRPr="00427E2F">
        <w:rPr>
          <w:szCs w:val="24"/>
        </w:rPr>
        <w:t xml:space="preserve">selected dynamic and thermodynamic quantities </w:t>
      </w:r>
      <w:r w:rsidR="00427E2F" w:rsidRPr="00427E2F">
        <w:rPr>
          <w:szCs w:val="24"/>
        </w:rPr>
        <w:t>between these datasets.</w:t>
      </w:r>
      <w:r w:rsidR="00427E2F">
        <w:rPr>
          <w:szCs w:val="24"/>
        </w:rPr>
        <w:t xml:space="preserve"> </w:t>
      </w:r>
      <w:r w:rsidR="009822F9" w:rsidRPr="00851A9D">
        <w:rPr>
          <w:szCs w:val="24"/>
        </w:rPr>
        <w:t>The present study will examine area</w:t>
      </w:r>
      <w:r w:rsidR="00160CAE">
        <w:rPr>
          <w:szCs w:val="24"/>
        </w:rPr>
        <w:t xml:space="preserve"> </w:t>
      </w:r>
      <w:r w:rsidR="009822F9" w:rsidRPr="00851A9D">
        <w:rPr>
          <w:szCs w:val="24"/>
        </w:rPr>
        <w:t xml:space="preserve">averages of the following dynamic and thermodynamic quantities: upper-tropospheric </w:t>
      </w:r>
      <w:r w:rsidR="00293540">
        <w:rPr>
          <w:szCs w:val="24"/>
        </w:rPr>
        <w:t>flow</w:t>
      </w:r>
      <w:r w:rsidR="009822F9" w:rsidRPr="00851A9D">
        <w:rPr>
          <w:szCs w:val="24"/>
        </w:rPr>
        <w:t xml:space="preserve"> and lower-tropospheric </w:t>
      </w:r>
      <w:r w:rsidR="00293540">
        <w:rPr>
          <w:szCs w:val="24"/>
        </w:rPr>
        <w:t>flow, corresponding to</w:t>
      </w:r>
      <w:r w:rsidR="00526B46">
        <w:rPr>
          <w:szCs w:val="24"/>
        </w:rPr>
        <w:t xml:space="preserve"> </w:t>
      </w:r>
      <w:r w:rsidR="009E11A7">
        <w:rPr>
          <w:szCs w:val="24"/>
        </w:rPr>
        <w:t>30</w:t>
      </w:r>
      <w:r w:rsidR="00526B46">
        <w:rPr>
          <w:szCs w:val="24"/>
        </w:rPr>
        <w:t xml:space="preserve">0-hPa </w:t>
      </w:r>
      <w:r w:rsidR="000372C3">
        <w:rPr>
          <w:szCs w:val="24"/>
        </w:rPr>
        <w:t>wind speed</w:t>
      </w:r>
      <w:r w:rsidR="009E11A7">
        <w:rPr>
          <w:szCs w:val="24"/>
        </w:rPr>
        <w:t xml:space="preserve"> and 85</w:t>
      </w:r>
      <w:r w:rsidR="00293540">
        <w:rPr>
          <w:szCs w:val="24"/>
        </w:rPr>
        <w:t>0-hPa wind speed, respectively</w:t>
      </w:r>
      <w:r w:rsidR="00CB5319">
        <w:rPr>
          <w:szCs w:val="24"/>
        </w:rPr>
        <w:t xml:space="preserve">; </w:t>
      </w:r>
      <w:r w:rsidR="009822F9" w:rsidRPr="00851A9D">
        <w:rPr>
          <w:szCs w:val="24"/>
        </w:rPr>
        <w:t>lower-tropospheric baroclinicity,</w:t>
      </w:r>
      <w:r w:rsidR="00F57EE7">
        <w:t xml:space="preserve"> </w:t>
      </w:r>
      <w:r w:rsidR="00CE4F03">
        <w:t>corresponding to</w:t>
      </w:r>
      <w:r w:rsidR="00CB5319">
        <w:t xml:space="preserve"> the magnitude of the </w:t>
      </w:r>
      <w:r w:rsidR="00CB5319" w:rsidRPr="00074782">
        <w:t>850-hPa potential temperature (</w:t>
      </w:r>
      <w:r w:rsidR="00CB5319" w:rsidRPr="003F1914">
        <w:rPr>
          <w:i/>
        </w:rPr>
        <w:t>θ</w:t>
      </w:r>
      <w:r w:rsidR="00CB5319" w:rsidRPr="00074782">
        <w:t>) gradient</w:t>
      </w:r>
      <w:r w:rsidR="00CB5319">
        <w:t xml:space="preserve">; </w:t>
      </w:r>
      <w:r w:rsidR="009822F9" w:rsidRPr="00851A9D">
        <w:rPr>
          <w:szCs w:val="24"/>
        </w:rPr>
        <w:t>lower-to-</w:t>
      </w:r>
      <w:proofErr w:type="spellStart"/>
      <w:r w:rsidR="009822F9" w:rsidRPr="00851A9D">
        <w:rPr>
          <w:szCs w:val="24"/>
        </w:rPr>
        <w:t>midtropospheric</w:t>
      </w:r>
      <w:proofErr w:type="spellEnd"/>
      <w:r w:rsidR="009822F9" w:rsidRPr="00851A9D">
        <w:rPr>
          <w:szCs w:val="24"/>
        </w:rPr>
        <w:t xml:space="preserve"> baroclinic growth rate, </w:t>
      </w:r>
      <w:r w:rsidR="00CE4F03">
        <w:rPr>
          <w:szCs w:val="24"/>
        </w:rPr>
        <w:t xml:space="preserve">corresponding to </w:t>
      </w:r>
      <w:r w:rsidR="00CE4F03">
        <w:t>EGR calculated over the 850–600-hPa layer</w:t>
      </w:r>
      <w:r w:rsidR="00346CF0">
        <w:t xml:space="preserve">; </w:t>
      </w:r>
      <w:r w:rsidR="009822F9" w:rsidRPr="00851A9D">
        <w:rPr>
          <w:szCs w:val="24"/>
        </w:rPr>
        <w:t xml:space="preserve">upper-tropospheric divergence, </w:t>
      </w:r>
      <w:r w:rsidR="00CE4F03">
        <w:rPr>
          <w:color w:val="202122"/>
          <w:shd w:val="clear" w:color="auto" w:fill="FFFFFF"/>
        </w:rPr>
        <w:t xml:space="preserve">corresponding to </w:t>
      </w:r>
      <w:r w:rsidR="00CB5319">
        <w:t>positive values of 350–250-hPa divergence;</w:t>
      </w:r>
      <w:r w:rsidR="00CB5319" w:rsidRPr="00851A9D" w:rsidDel="000372C3">
        <w:rPr>
          <w:szCs w:val="24"/>
        </w:rPr>
        <w:t xml:space="preserve"> </w:t>
      </w:r>
      <w:r w:rsidR="009822F9" w:rsidRPr="00851A9D">
        <w:rPr>
          <w:szCs w:val="24"/>
        </w:rPr>
        <w:t>lower-to-</w:t>
      </w:r>
      <w:proofErr w:type="spellStart"/>
      <w:r w:rsidR="009822F9" w:rsidRPr="00851A9D">
        <w:rPr>
          <w:szCs w:val="24"/>
        </w:rPr>
        <w:lastRenderedPageBreak/>
        <w:t>midtropospheric</w:t>
      </w:r>
      <w:proofErr w:type="spellEnd"/>
      <w:r w:rsidR="009822F9" w:rsidRPr="00851A9D">
        <w:rPr>
          <w:szCs w:val="24"/>
        </w:rPr>
        <w:t xml:space="preserve"> </w:t>
      </w:r>
      <w:r w:rsidR="003C74EE">
        <w:rPr>
          <w:szCs w:val="24"/>
        </w:rPr>
        <w:t>ascent</w:t>
      </w:r>
      <w:r w:rsidR="00FD3493">
        <w:rPr>
          <w:szCs w:val="24"/>
        </w:rPr>
        <w:t>,</w:t>
      </w:r>
      <w:r w:rsidR="00CE4F03">
        <w:rPr>
          <w:szCs w:val="24"/>
        </w:rPr>
        <w:t xml:space="preserve"> corresponding to</w:t>
      </w:r>
      <w:r w:rsidR="00CB5319" w:rsidRPr="00074782">
        <w:rPr>
          <w:color w:val="202122"/>
          <w:shd w:val="clear" w:color="auto" w:fill="FFFFFF"/>
        </w:rPr>
        <w:t xml:space="preserve"> </w:t>
      </w:r>
      <w:r w:rsidR="00CB5319">
        <w:t xml:space="preserve">negative values of 800–600-hPa </w:t>
      </w:r>
      <w:r w:rsidR="00CB5319" w:rsidRPr="003F1914">
        <w:rPr>
          <w:i/>
          <w:color w:val="202122"/>
          <w:shd w:val="clear" w:color="auto" w:fill="FFFFFF"/>
        </w:rPr>
        <w:t>ω</w:t>
      </w:r>
      <w:r w:rsidR="00CB5319">
        <w:rPr>
          <w:color w:val="202122"/>
          <w:shd w:val="clear" w:color="auto" w:fill="FFFFFF"/>
        </w:rPr>
        <w:t>;</w:t>
      </w:r>
      <w:r w:rsidR="009822F9" w:rsidRPr="00851A9D">
        <w:rPr>
          <w:szCs w:val="24"/>
        </w:rPr>
        <w:t xml:space="preserve"> moisture transport, </w:t>
      </w:r>
      <w:r w:rsidR="00CE4F03">
        <w:rPr>
          <w:color w:val="202122"/>
          <w:shd w:val="clear" w:color="auto" w:fill="FFFFFF"/>
        </w:rPr>
        <w:t>corresponding to</w:t>
      </w:r>
      <w:r w:rsidR="00CB5319">
        <w:rPr>
          <w:color w:val="202122"/>
          <w:shd w:val="clear" w:color="auto" w:fill="FFFFFF"/>
        </w:rPr>
        <w:t xml:space="preserve"> </w:t>
      </w:r>
      <w:r w:rsidR="00CB5319" w:rsidRPr="00074782">
        <w:rPr>
          <w:color w:val="202122"/>
          <w:shd w:val="clear" w:color="auto" w:fill="FFFFFF"/>
        </w:rPr>
        <w:t>1000–300-hPa integrated water vapor transport (IVT)</w:t>
      </w:r>
      <w:r w:rsidR="00CB5319">
        <w:rPr>
          <w:color w:val="202122"/>
          <w:shd w:val="clear" w:color="auto" w:fill="FFFFFF"/>
        </w:rPr>
        <w:t xml:space="preserve">; </w:t>
      </w:r>
      <w:r w:rsidR="009822F9" w:rsidRPr="00851A9D">
        <w:rPr>
          <w:szCs w:val="24"/>
        </w:rPr>
        <w:t>and latent heating</w:t>
      </w:r>
      <w:r w:rsidR="00CB5319">
        <w:rPr>
          <w:szCs w:val="24"/>
        </w:rPr>
        <w:t xml:space="preserve">, where </w:t>
      </w:r>
      <w:r w:rsidR="00CB5319">
        <w:rPr>
          <w:color w:val="202122"/>
          <w:shd w:val="clear" w:color="auto" w:fill="FFFFFF"/>
        </w:rPr>
        <w:t>p</w:t>
      </w:r>
      <w:r w:rsidR="00CB5319" w:rsidRPr="00D5647A">
        <w:rPr>
          <w:color w:val="202122"/>
          <w:shd w:val="clear" w:color="auto" w:fill="FFFFFF"/>
        </w:rPr>
        <w:t xml:space="preserve">ositive values of 1000–300-hPa integrated </w:t>
      </w:r>
      <w:r w:rsidR="00CB5319">
        <w:rPr>
          <w:color w:val="202122"/>
          <w:shd w:val="clear" w:color="auto" w:fill="FFFFFF"/>
        </w:rPr>
        <w:t xml:space="preserve">horizontal </w:t>
      </w:r>
      <w:r w:rsidR="00CB5319" w:rsidRPr="00D5647A">
        <w:rPr>
          <w:color w:val="202122"/>
          <w:shd w:val="clear" w:color="auto" w:fill="FFFFFF"/>
        </w:rPr>
        <w:t>moisture flux convergence (IMFC) are used</w:t>
      </w:r>
      <w:r w:rsidR="00CB5319">
        <w:rPr>
          <w:color w:val="202122"/>
          <w:shd w:val="clear" w:color="auto" w:fill="FFFFFF"/>
        </w:rPr>
        <w:t xml:space="preserve"> as a proxy for latent heating (e.g., Torn and Hakim 2015).</w:t>
      </w:r>
      <w:r w:rsidR="00F57EE7">
        <w:rPr>
          <w:color w:val="202122"/>
          <w:shd w:val="clear" w:color="auto" w:fill="FFFFFF"/>
        </w:rPr>
        <w:t xml:space="preserve"> In the calculation of EGR, the formulation of</w:t>
      </w:r>
      <w:r w:rsidR="00C171B0">
        <w:rPr>
          <w:szCs w:val="24"/>
        </w:rPr>
        <w:t xml:space="preserve"> </w:t>
      </w:r>
      <w:r w:rsidR="00346CF0" w:rsidRPr="00074782">
        <w:t xml:space="preserve">Hoskins and Valdes (1990) </w:t>
      </w:r>
      <w:r w:rsidR="00F57EE7">
        <w:t xml:space="preserve">is </w:t>
      </w:r>
      <w:r w:rsidR="0074023B">
        <w:t>adopted,</w:t>
      </w:r>
      <w:r w:rsidR="00F57EE7">
        <w:t xml:space="preserve"> i.e., </w:t>
      </w:r>
    </w:p>
    <w:p w14:paraId="56F69B3F" w14:textId="77777777" w:rsidR="00346CF0" w:rsidRPr="00074782" w:rsidRDefault="00346CF0" w:rsidP="00346CF0">
      <w:pPr>
        <w:ind w:firstLine="720"/>
        <w:jc w:val="right"/>
      </w:pPr>
      <m:oMath>
        <m:r>
          <m:rPr>
            <m:sty m:val="p"/>
          </m:rPr>
          <w:rPr>
            <w:rFonts w:ascii="Cambria Math" w:hAnsi="Cambria Math"/>
          </w:rPr>
          <m:t>EGR=0.31</m:t>
        </m:r>
        <m:f>
          <m:fPr>
            <m:ctrlPr>
              <w:rPr>
                <w:rFonts w:ascii="Cambria Math" w:hAnsi="Cambria Math"/>
              </w:rPr>
            </m:ctrlPr>
          </m:fPr>
          <m:num>
            <m:r>
              <w:rPr>
                <w:rFonts w:ascii="Cambria Math" w:hAnsi="Cambria Math"/>
              </w:rPr>
              <m:t>f</m:t>
            </m:r>
          </m:num>
          <m:den>
            <m:r>
              <w:rPr>
                <w:rFonts w:ascii="Cambria Math" w:hAnsi="Cambria Math"/>
              </w:rPr>
              <m:t>N</m:t>
            </m:r>
          </m:den>
        </m:f>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m:t>
                </m:r>
                <m:r>
                  <m:rPr>
                    <m:sty m:val="b"/>
                  </m:rPr>
                  <w:rPr>
                    <w:rFonts w:ascii="Cambria Math" w:hAnsi="Cambria Math"/>
                  </w:rPr>
                  <m:t>v</m:t>
                </m:r>
              </m:num>
              <m:den>
                <m:r>
                  <m:rPr>
                    <m:sty m:val="p"/>
                  </m:rPr>
                  <w:rPr>
                    <w:rFonts w:ascii="Cambria Math" w:hAnsi="Cambria Math"/>
                  </w:rPr>
                  <m:t>∂</m:t>
                </m:r>
                <m:r>
                  <w:rPr>
                    <w:rFonts w:ascii="Cambria Math" w:hAnsi="Cambria Math"/>
                  </w:rPr>
                  <m:t>z</m:t>
                </m:r>
              </m:den>
            </m:f>
          </m:e>
        </m:d>
      </m:oMath>
      <w:proofErr w:type="gramStart"/>
      <w:r w:rsidRPr="00074782">
        <w:t xml:space="preserve">,   </w:t>
      </w:r>
      <w:proofErr w:type="gramEnd"/>
      <w:r w:rsidRPr="00074782">
        <w:t xml:space="preserve">     </w:t>
      </w:r>
      <w:r>
        <w:t xml:space="preserve">                                                 </w:t>
      </w:r>
      <w:r w:rsidRPr="00074782">
        <w:t xml:space="preserve">   (2)</w:t>
      </w:r>
    </w:p>
    <w:p w14:paraId="29997B70" w14:textId="76FEC021" w:rsidR="00346CF0" w:rsidRPr="00C11645" w:rsidRDefault="00346CF0" w:rsidP="00293540">
      <w:pPr>
        <w:pStyle w:val="ParagraphText"/>
        <w:ind w:firstLine="0"/>
        <w:rPr>
          <w:szCs w:val="24"/>
        </w:rPr>
      </w:pPr>
      <w:r w:rsidRPr="00074782">
        <w:t xml:space="preserve">where </w:t>
      </w:r>
      <w:r w:rsidRPr="00074782">
        <w:rPr>
          <w:b/>
        </w:rPr>
        <w:t>v</w:t>
      </w:r>
      <w:r w:rsidRPr="00074782">
        <w:t xml:space="preserve"> is the horizontal </w:t>
      </w:r>
      <w:r>
        <w:t xml:space="preserve">vector </w:t>
      </w:r>
      <w:r w:rsidRPr="00074782">
        <w:t>wind</w:t>
      </w:r>
      <w:r w:rsidR="00522A95">
        <w:t>;</w:t>
      </w:r>
      <w:r w:rsidRPr="00074782">
        <w:t xml:space="preserve"> </w:t>
      </w:r>
      <w:r w:rsidRPr="003F1914">
        <w:rPr>
          <w:i/>
        </w:rPr>
        <w:t>z</w:t>
      </w:r>
      <w:r w:rsidRPr="00074782">
        <w:t xml:space="preserve"> is the</w:t>
      </w:r>
      <w:r>
        <w:t xml:space="preserve"> height</w:t>
      </w:r>
      <w:r w:rsidR="00522A95">
        <w:t xml:space="preserve">, which, for expediency, is </w:t>
      </w:r>
      <w:r w:rsidR="008562DF">
        <w:t xml:space="preserve">evaluated </w:t>
      </w:r>
      <w:r w:rsidR="005A6245">
        <w:t>using</w:t>
      </w:r>
      <w:r w:rsidR="008562DF">
        <w:t xml:space="preserve"> </w:t>
      </w:r>
      <w:r w:rsidR="00522A95">
        <w:t>geopotential height in the present paper;</w:t>
      </w:r>
      <w:r w:rsidRPr="00074782">
        <w:t xml:space="preserve"> </w:t>
      </w:r>
      <w:r w:rsidRPr="003F1914">
        <w:rPr>
          <w:i/>
        </w:rPr>
        <w:t>f</w:t>
      </w:r>
      <w:r w:rsidRPr="00074782">
        <w:t xml:space="preserve"> is the Coriolis parameter</w:t>
      </w:r>
      <w:r w:rsidR="00522A95">
        <w:t>;</w:t>
      </w:r>
      <w:r w:rsidRPr="00074782">
        <w:t xml:space="preserve"> and </w:t>
      </w:r>
      <w:r w:rsidRPr="003F1914">
        <w:rPr>
          <w:i/>
        </w:rPr>
        <w:t>N</w:t>
      </w:r>
      <w:r w:rsidRPr="00074782">
        <w:t xml:space="preserve"> is the </w:t>
      </w:r>
      <w:r w:rsidRPr="00074782">
        <w:rPr>
          <w:color w:val="202122"/>
          <w:shd w:val="clear" w:color="auto" w:fill="FFFFFF"/>
        </w:rPr>
        <w:t>Brunt–</w:t>
      </w:r>
      <w:proofErr w:type="spellStart"/>
      <w:r w:rsidRPr="00074782">
        <w:rPr>
          <w:color w:val="202122"/>
          <w:shd w:val="clear" w:color="auto" w:fill="FFFFFF"/>
        </w:rPr>
        <w:t>Väisälä</w:t>
      </w:r>
      <w:proofErr w:type="spellEnd"/>
      <w:r w:rsidRPr="00074782">
        <w:rPr>
          <w:color w:val="202122"/>
          <w:shd w:val="clear" w:color="auto" w:fill="FFFFFF"/>
        </w:rPr>
        <w:t xml:space="preserve"> frequency</w:t>
      </w:r>
      <w:r w:rsidR="00522A95">
        <w:rPr>
          <w:color w:val="202122"/>
          <w:shd w:val="clear" w:color="auto" w:fill="FFFFFF"/>
        </w:rPr>
        <w:t>.</w:t>
      </w:r>
    </w:p>
    <w:p w14:paraId="363EB757" w14:textId="6A3632DC" w:rsidR="00163F86" w:rsidRPr="006C6F7D" w:rsidRDefault="00780C6F" w:rsidP="00163F86">
      <w:r>
        <w:rPr>
          <w:color w:val="202122"/>
          <w:shd w:val="clear" w:color="auto" w:fill="FFFFFF"/>
        </w:rPr>
        <w:t xml:space="preserve">The </w:t>
      </w:r>
      <w:r w:rsidR="001D79E5">
        <w:rPr>
          <w:color w:val="202122"/>
          <w:shd w:val="clear" w:color="auto" w:fill="FFFFFF"/>
        </w:rPr>
        <w:t xml:space="preserve">aforementioned </w:t>
      </w:r>
      <w:r>
        <w:rPr>
          <w:color w:val="202122"/>
          <w:shd w:val="clear" w:color="auto" w:fill="FFFFFF"/>
        </w:rPr>
        <w:t>quantities are area-averaged over the Arctic to characterize the Arctic environment and are area-averaged within a 1000-km radius from</w:t>
      </w:r>
      <w:r w:rsidRPr="00074782">
        <w:rPr>
          <w:color w:val="202122"/>
          <w:shd w:val="clear" w:color="auto" w:fill="FFFFFF"/>
        </w:rPr>
        <w:t xml:space="preserve"> the</w:t>
      </w:r>
      <w:r>
        <w:rPr>
          <w:color w:val="202122"/>
          <w:shd w:val="clear" w:color="auto" w:fill="FFFFFF"/>
        </w:rPr>
        <w:t xml:space="preserve"> center</w:t>
      </w:r>
      <w:r w:rsidRPr="00074782">
        <w:rPr>
          <w:color w:val="202122"/>
          <w:shd w:val="clear" w:color="auto" w:fill="FFFFFF"/>
        </w:rPr>
        <w:t xml:space="preserve"> of each AC to characterize </w:t>
      </w:r>
      <w:r w:rsidR="00F7561A">
        <w:rPr>
          <w:color w:val="202122"/>
          <w:shd w:val="clear" w:color="auto" w:fill="FFFFFF"/>
        </w:rPr>
        <w:t>the ACs</w:t>
      </w:r>
      <w:r w:rsidRPr="00074782">
        <w:rPr>
          <w:color w:val="202122"/>
          <w:shd w:val="clear" w:color="auto" w:fill="FFFFFF"/>
        </w:rPr>
        <w:t>.</w:t>
      </w:r>
      <w:r w:rsidRPr="00780C6F">
        <w:rPr>
          <w:color w:val="202122"/>
          <w:shd w:val="clear" w:color="auto" w:fill="FFFFFF"/>
        </w:rPr>
        <w:t xml:space="preserve"> </w:t>
      </w:r>
      <w:r w:rsidR="00F93828">
        <w:rPr>
          <w:color w:val="202122"/>
          <w:shd w:val="clear" w:color="auto" w:fill="FFFFFF"/>
        </w:rPr>
        <w:t xml:space="preserve">The 1000-km radius is motivated by </w:t>
      </w:r>
      <w:proofErr w:type="spellStart"/>
      <w:r w:rsidR="00F93828">
        <w:rPr>
          <w:color w:val="202122"/>
          <w:shd w:val="clear" w:color="auto" w:fill="FFFFFF"/>
        </w:rPr>
        <w:t>Y</w:t>
      </w:r>
      <w:r w:rsidR="00BA1F12">
        <w:rPr>
          <w:color w:val="202122"/>
          <w:shd w:val="clear" w:color="auto" w:fill="FFFFFF"/>
        </w:rPr>
        <w:t>amagami</w:t>
      </w:r>
      <w:proofErr w:type="spellEnd"/>
      <w:r w:rsidR="00BA1F12">
        <w:rPr>
          <w:color w:val="202122"/>
          <w:shd w:val="clear" w:color="auto" w:fill="FFFFFF"/>
        </w:rPr>
        <w:t xml:space="preserve"> et al. (2018b), who show</w:t>
      </w:r>
      <w:r w:rsidR="00F93828">
        <w:rPr>
          <w:color w:val="202122"/>
          <w:shd w:val="clear" w:color="auto" w:fill="FFFFFF"/>
        </w:rPr>
        <w:t xml:space="preserve"> </w:t>
      </w:r>
      <w:r w:rsidR="00F93828">
        <w:t xml:space="preserve">that the mean radius of </w:t>
      </w:r>
      <w:r w:rsidR="00D23F04">
        <w:t xml:space="preserve">the </w:t>
      </w:r>
      <w:r w:rsidR="004E5BFB">
        <w:t>10 extraordinary</w:t>
      </w:r>
      <w:r w:rsidR="00F93828">
        <w:t xml:space="preserve"> ACs</w:t>
      </w:r>
      <w:r w:rsidR="00D23F04">
        <w:t xml:space="preserve"> that </w:t>
      </w:r>
      <w:r w:rsidR="00240CB0">
        <w:t>were</w:t>
      </w:r>
      <w:r w:rsidR="003C5DA2">
        <w:t xml:space="preserve"> </w:t>
      </w:r>
      <w:r w:rsidR="003C74EE">
        <w:t>mentioned</w:t>
      </w:r>
      <w:r w:rsidR="006D15F1">
        <w:t xml:space="preserve"> in sect</w:t>
      </w:r>
      <w:r w:rsidR="004E5BFB">
        <w:t>ion 1</w:t>
      </w:r>
      <w:r w:rsidR="00D23F04">
        <w:t xml:space="preserve"> of the present paper</w:t>
      </w:r>
      <w:r w:rsidR="00F93828">
        <w:t xml:space="preserve"> is approximately 938 km, a</w:t>
      </w:r>
      <w:r w:rsidR="00BA1F12">
        <w:t xml:space="preserve">nd </w:t>
      </w:r>
      <w:proofErr w:type="spellStart"/>
      <w:r w:rsidR="00BA1F12">
        <w:t>Valkonen</w:t>
      </w:r>
      <w:proofErr w:type="spellEnd"/>
      <w:r w:rsidR="00BA1F12">
        <w:t xml:space="preserve"> et al. (2021), </w:t>
      </w:r>
      <w:r w:rsidR="00AD44D5" w:rsidRPr="00AD44D5">
        <w:t>who show that the interquartile range of average cyclone radius in the Arctic for June–August of 1979–2015 encompasses a value of 1000 km.</w:t>
      </w:r>
      <w:r w:rsidR="009E7473">
        <w:t xml:space="preserve"> Minimum SLP </w:t>
      </w:r>
      <w:r w:rsidR="00F93828">
        <w:t xml:space="preserve">is used to characterize the intensity of ACs. </w:t>
      </w:r>
      <w:r w:rsidR="006C6F7D">
        <w:t xml:space="preserve">The largest magnitude value of </w:t>
      </w:r>
      <w:r w:rsidR="006C6F7D" w:rsidRPr="00EA2401">
        <w:t>each area-averaged quantity</w:t>
      </w:r>
      <w:r w:rsidR="006C6F7D">
        <w:t>, and the lowest value of</w:t>
      </w:r>
      <w:r w:rsidR="006C6F7D" w:rsidRPr="00EA2401">
        <w:t xml:space="preserve"> minimum SLP</w:t>
      </w:r>
      <w:r w:rsidR="006C6F7D">
        <w:t>,</w:t>
      </w:r>
      <w:r w:rsidR="006C6F7D" w:rsidRPr="00EA2401">
        <w:t xml:space="preserve"> for each AC among all 6-h time steps during which the AC is located within the Arctic during a period of interest (i.e., the 2007–2017 climatological period, low-skill periods, or high-skill periods) is determined.</w:t>
      </w:r>
      <w:r w:rsidR="006C6F7D">
        <w:t xml:space="preserve"> The largest magnitude value of each area-averaged quantity and</w:t>
      </w:r>
      <w:r w:rsidR="00085505">
        <w:t xml:space="preserve"> the</w:t>
      </w:r>
      <w:r w:rsidR="006C6F7D">
        <w:t xml:space="preserve"> lowest value of minimum SLP are hereafter referred to as the most extreme value of the respective quantities.</w:t>
      </w:r>
    </w:p>
    <w:p w14:paraId="1E0802C4" w14:textId="0BEAFB7A" w:rsidR="00B36F8E" w:rsidRPr="00B36F8E" w:rsidRDefault="00B36F8E" w:rsidP="00B36F8E">
      <w:pPr>
        <w:pStyle w:val="H2"/>
        <w:rPr>
          <w:szCs w:val="24"/>
        </w:rPr>
      </w:pPr>
      <w:r>
        <w:rPr>
          <w:szCs w:val="24"/>
        </w:rPr>
        <w:t>d</w:t>
      </w:r>
      <w:r w:rsidRPr="00B36F8E">
        <w:rPr>
          <w:szCs w:val="24"/>
        </w:rPr>
        <w:t>. Forecast skill of ACs</w:t>
      </w:r>
    </w:p>
    <w:p w14:paraId="345ED3CC" w14:textId="4B38DCF8" w:rsidR="00B36F8E" w:rsidRDefault="008A2007" w:rsidP="0008767B">
      <w:r>
        <w:rPr>
          <w:szCs w:val="24"/>
        </w:rPr>
        <w:t>Ensemble forecasts of SLP from the</w:t>
      </w:r>
      <w:r w:rsidR="00A14BFA">
        <w:t xml:space="preserve"> 11-member</w:t>
      </w:r>
      <w:r w:rsidR="008C004D">
        <w:t xml:space="preserve"> </w:t>
      </w:r>
      <w:r w:rsidR="00A14BFA">
        <w:t xml:space="preserve">NOAA </w:t>
      </w:r>
      <w:r w:rsidR="008C004D" w:rsidRPr="00A1387D">
        <w:t>GEFS reforecast dataset v</w:t>
      </w:r>
      <w:r w:rsidR="008C004D">
        <w:t xml:space="preserve">ersion 2 </w:t>
      </w:r>
      <w:r w:rsidR="00A14BFA">
        <w:t xml:space="preserve">initialized daily at 0000 UTC </w:t>
      </w:r>
      <w:r>
        <w:t>are</w:t>
      </w:r>
      <w:r w:rsidR="008C004D">
        <w:t xml:space="preserve"> used to </w:t>
      </w:r>
      <w:r w:rsidR="008C004D" w:rsidRPr="00A1387D">
        <w:t xml:space="preserve">evaluate </w:t>
      </w:r>
      <w:r w:rsidR="008C004D">
        <w:t xml:space="preserve">the </w:t>
      </w:r>
      <w:r w:rsidR="008C004D" w:rsidRPr="00A1387D">
        <w:t xml:space="preserve">forecast skill of the </w:t>
      </w:r>
      <w:r w:rsidR="008C004D">
        <w:t xml:space="preserve">intensity and position of the ACs identified in section 2b </w:t>
      </w:r>
      <w:r w:rsidR="008C004D" w:rsidRPr="00074782">
        <w:t>for forecast lead times of 1–7 days, every 1 day</w:t>
      </w:r>
      <w:r w:rsidR="008C004D">
        <w:t>, with respect to a verification time.</w:t>
      </w:r>
      <w:r w:rsidR="008C004D" w:rsidRPr="008C004D">
        <w:t xml:space="preserve"> </w:t>
      </w:r>
      <w:r w:rsidR="008C004D">
        <w:t>The ACs identified in section 2b are hereafter referred to as “analysis ACs” in the present subsection.</w:t>
      </w:r>
      <w:r w:rsidR="008C004D" w:rsidRPr="008C004D">
        <w:t xml:space="preserve"> </w:t>
      </w:r>
      <w:r w:rsidR="008C004D">
        <w:t xml:space="preserve">The verification time for a given analysis </w:t>
      </w:r>
      <w:r w:rsidR="008C004D" w:rsidRPr="00074782">
        <w:t xml:space="preserve">AC during a period of interest (i.e., </w:t>
      </w:r>
      <w:r w:rsidR="008E4198">
        <w:t xml:space="preserve">the 2007–2017 </w:t>
      </w:r>
      <w:r w:rsidR="008C004D" w:rsidRPr="00074782">
        <w:t>climatolog</w:t>
      </w:r>
      <w:r w:rsidR="00BF0162">
        <w:t>ical period</w:t>
      </w:r>
      <w:r w:rsidR="008C004D" w:rsidRPr="00074782">
        <w:t>, low-skill periods, or high-skill periods) is considered the 0000 UTC time of lowest SLP of the given</w:t>
      </w:r>
      <w:r w:rsidR="008C004D">
        <w:t xml:space="preserve"> analysis</w:t>
      </w:r>
      <w:r w:rsidR="008C004D" w:rsidRPr="00074782">
        <w:t xml:space="preserve"> AC when located </w:t>
      </w:r>
      <w:r w:rsidR="005F6F86">
        <w:t>with</w:t>
      </w:r>
      <w:r w:rsidR="008C004D" w:rsidRPr="00074782">
        <w:t>in the Arctic</w:t>
      </w:r>
      <w:r w:rsidR="005F6F86">
        <w:t xml:space="preserve"> </w:t>
      </w:r>
      <w:r w:rsidR="008C004D" w:rsidRPr="00074782">
        <w:t>during the period of interest.</w:t>
      </w:r>
      <w:r w:rsidR="008C004D" w:rsidRPr="008C004D">
        <w:t xml:space="preserve"> </w:t>
      </w:r>
      <w:r w:rsidR="00BA6FF1" w:rsidRPr="004952B4">
        <w:t xml:space="preserve">If there is no 0000 UTC time at </w:t>
      </w:r>
      <w:r w:rsidR="00BA6FF1" w:rsidRPr="004952B4">
        <w:lastRenderedPageBreak/>
        <w:t xml:space="preserve">which a given analysis AC is located within the Arctic during the period of interest, the following procedure is used. </w:t>
      </w:r>
      <w:r w:rsidR="0008767B" w:rsidRPr="00C03B99">
        <w:t>The time of lowest SLP of the AC when located within the Arctic during the period of interest is determined, and each surrounding 0000 UTC time for which the following two criteria are met is considered a candidate verificati</w:t>
      </w:r>
      <w:r w:rsidR="00A43AB3">
        <w:t>on time: 1) the AC exists at</w:t>
      </w:r>
      <w:r w:rsidR="0008767B" w:rsidRPr="00C03B99">
        <w:t xml:space="preserve"> that surrounding 0000 UTC time, and 2) that surrounding 0000 UTC time occurs during the period of interest. </w:t>
      </w:r>
      <w:r w:rsidR="00CC5BE5">
        <w:t xml:space="preserve">Figure 2 shows the possible situations involving the identification of candidate verification times. </w:t>
      </w:r>
      <w:r w:rsidR="0008767B" w:rsidRPr="00C03B99">
        <w:t>If there are two candidate verification times</w:t>
      </w:r>
      <w:r w:rsidR="00F131B9">
        <w:t xml:space="preserve"> (Situation A in Fig. 2)</w:t>
      </w:r>
      <w:r w:rsidR="0008767B" w:rsidRPr="00C03B99">
        <w:t xml:space="preserve">, the candidate verification time at which the minimum SLP of the AC is lower is considered the verification time. If there is one candidate verification time, it is considered the verification time. There </w:t>
      </w:r>
      <w:r w:rsidR="00AA6500">
        <w:t>is</w:t>
      </w:r>
      <w:r w:rsidR="0008767B" w:rsidRPr="00C03B99">
        <w:t xml:space="preserve"> one candidate verification time</w:t>
      </w:r>
      <w:r w:rsidR="0008767B">
        <w:t xml:space="preserve"> if </w:t>
      </w:r>
      <w:r w:rsidR="006F2C17">
        <w:t xml:space="preserve">either of </w:t>
      </w:r>
      <w:r w:rsidR="0008767B">
        <w:t xml:space="preserve">the aforementioned two criteria </w:t>
      </w:r>
      <w:r w:rsidR="00527FE3">
        <w:t>is</w:t>
      </w:r>
      <w:r w:rsidR="006F2C17">
        <w:t xml:space="preserve"> not</w:t>
      </w:r>
      <w:r w:rsidR="004B7E33">
        <w:t xml:space="preserve"> </w:t>
      </w:r>
      <w:r w:rsidR="0008767B">
        <w:t>met for one of the surrounding 0000 UTC times, which can happen</w:t>
      </w:r>
      <w:r w:rsidR="0008767B" w:rsidRPr="00C03B99">
        <w:t xml:space="preserve"> if the first 6-h time step of the AC occurs after the earlier surrounding 0000 UTC time</w:t>
      </w:r>
      <w:r w:rsidR="00F131B9">
        <w:t xml:space="preserve"> (Situation B in Fig. 2)</w:t>
      </w:r>
      <w:r w:rsidR="0008767B" w:rsidRPr="00C03B99">
        <w:t>, if the last 6-h time step of the AC occurs before the later surrounding 0000 UTC time</w:t>
      </w:r>
      <w:r w:rsidR="00F131B9">
        <w:t xml:space="preserve"> (Situation C in Fig. 2)</w:t>
      </w:r>
      <w:r w:rsidR="0008767B" w:rsidRPr="00C03B99">
        <w:t xml:space="preserve">, or if </w:t>
      </w:r>
      <w:r w:rsidR="006F33E9">
        <w:t>the later</w:t>
      </w:r>
      <w:r w:rsidR="0008767B" w:rsidRPr="00C03B99">
        <w:t xml:space="preserve"> surrounding 0000 UTC time does not occur during the period of interest</w:t>
      </w:r>
      <w:r w:rsidR="00F131B9">
        <w:t xml:space="preserve"> (Situation D in Fig. 2)</w:t>
      </w:r>
      <w:r w:rsidR="0008767B" w:rsidRPr="00C03B99">
        <w:t>. For the additional, rare i</w:t>
      </w:r>
      <w:r w:rsidR="00E50C67">
        <w:t>nstance</w:t>
      </w:r>
      <w:r w:rsidR="0008767B" w:rsidRPr="00C03B99">
        <w:t xml:space="preserve"> in which there is no candidate verification time, which happen</w:t>
      </w:r>
      <w:r w:rsidR="00E50C67">
        <w:t>s</w:t>
      </w:r>
      <w:r w:rsidR="0008767B" w:rsidRPr="00C03B99">
        <w:t xml:space="preserve"> if the first 6-h time step of the AC occurs after the earlier surrounding 0000 UTC time and the later surrounding 0000 UTC time does not occur during the period of interest</w:t>
      </w:r>
      <w:r w:rsidR="00F131B9">
        <w:t xml:space="preserve"> (Situation E in Fig. 2)</w:t>
      </w:r>
      <w:r w:rsidR="0008767B" w:rsidRPr="00C03B99">
        <w:t>, the later surrounding 0000 UTC time is considered the verification time.</w:t>
      </w:r>
    </w:p>
    <w:p w14:paraId="0548313B" w14:textId="0A748339" w:rsidR="00F131B9" w:rsidRDefault="00F131B9" w:rsidP="0008767B"/>
    <w:p w14:paraId="32DAD7CE" w14:textId="6D10E8A7" w:rsidR="00F131B9" w:rsidRDefault="00F131B9" w:rsidP="0008767B"/>
    <w:p w14:paraId="3CBA497A" w14:textId="1837F3BE" w:rsidR="00F131B9" w:rsidRDefault="00524DF0" w:rsidP="00F131B9">
      <w:pPr>
        <w:jc w:val="center"/>
      </w:pPr>
      <w:r>
        <w:rPr>
          <w:noProof/>
        </w:rPr>
        <w:lastRenderedPageBreak/>
        <w:drawing>
          <wp:inline distT="0" distB="0" distL="0" distR="0" wp14:anchorId="358E87A8" wp14:editId="55E1C3A5">
            <wp:extent cx="5731510" cy="42348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stretch>
                      <a:fillRect/>
                    </a:stretch>
                  </pic:blipFill>
                  <pic:spPr>
                    <a:xfrm>
                      <a:off x="0" y="0"/>
                      <a:ext cx="5731510" cy="4234815"/>
                    </a:xfrm>
                    <a:prstGeom prst="rect">
                      <a:avLst/>
                    </a:prstGeom>
                  </pic:spPr>
                </pic:pic>
              </a:graphicData>
            </a:graphic>
          </wp:inline>
        </w:drawing>
      </w:r>
    </w:p>
    <w:p w14:paraId="16D78774" w14:textId="3C4A14A3" w:rsidR="00F131B9" w:rsidRDefault="00F131B9" w:rsidP="00A00C64">
      <w:pPr>
        <w:spacing w:line="240" w:lineRule="auto"/>
        <w:ind w:firstLine="0"/>
      </w:pPr>
      <w:r w:rsidRPr="00F131B9">
        <w:t>Fig. 2. Schematic diagram of the</w:t>
      </w:r>
      <w:r>
        <w:t xml:space="preserve"> possible situations involving the identification of </w:t>
      </w:r>
      <w:r w:rsidRPr="00F131B9">
        <w:t>candidate verification times</w:t>
      </w:r>
      <w:r>
        <w:t xml:space="preserve"> for an AC</w:t>
      </w:r>
      <w:r w:rsidRPr="00F131B9">
        <w:t>. Boxes indicate hypothetical time</w:t>
      </w:r>
      <w:r>
        <w:t>s</w:t>
      </w:r>
      <w:r w:rsidRPr="00F131B9">
        <w:t xml:space="preserve">, every 6 h, from 0000 UTC of </w:t>
      </w:r>
      <w:r w:rsidR="00DF7EC4">
        <w:t>a given day</w:t>
      </w:r>
      <w:r w:rsidRPr="00F131B9">
        <w:t xml:space="preserve"> </w:t>
      </w:r>
      <w:r w:rsidR="00DF7EC4">
        <w:t>(</w:t>
      </w:r>
      <w:r w:rsidRPr="00F131B9">
        <w:t>D</w:t>
      </w:r>
      <w:r w:rsidRPr="00A00C64">
        <w:rPr>
          <w:vertAlign w:val="subscript"/>
        </w:rPr>
        <w:t>0</w:t>
      </w:r>
      <w:r w:rsidR="00DF7EC4">
        <w:t>)</w:t>
      </w:r>
      <w:r w:rsidRPr="00F131B9">
        <w:t xml:space="preserve"> to 0000 UTC of </w:t>
      </w:r>
      <w:r w:rsidR="00DF7EC4">
        <w:t>the next day</w:t>
      </w:r>
      <w:r w:rsidRPr="00F131B9">
        <w:t xml:space="preserve"> </w:t>
      </w:r>
      <w:r w:rsidR="00DF7EC4">
        <w:t>(</w:t>
      </w:r>
      <w:r w:rsidRPr="00F131B9">
        <w:t>D</w:t>
      </w:r>
      <w:r w:rsidRPr="00A00C64">
        <w:rPr>
          <w:vertAlign w:val="subscript"/>
        </w:rPr>
        <w:t>0</w:t>
      </w:r>
      <w:r w:rsidRPr="00F131B9">
        <w:t>+1</w:t>
      </w:r>
      <w:r w:rsidR="00DF7EC4">
        <w:t>)</w:t>
      </w:r>
      <w:r w:rsidR="00427E2F">
        <w:t>, with g</w:t>
      </w:r>
      <w:r w:rsidRPr="00F131B9">
        <w:t>r</w:t>
      </w:r>
      <w:r>
        <w:t>a</w:t>
      </w:r>
      <w:r w:rsidRPr="00F131B9">
        <w:t>y and white boxes indicat</w:t>
      </w:r>
      <w:r w:rsidR="00427E2F">
        <w:t>ing</w:t>
      </w:r>
      <w:r w:rsidRPr="00F131B9">
        <w:t xml:space="preserve"> time</w:t>
      </w:r>
      <w:r>
        <w:t xml:space="preserve">s </w:t>
      </w:r>
      <w:r w:rsidRPr="00F131B9">
        <w:t>that occur and that do not occur, respectively, during a period of interest (i.e., the 2007–2017 climatological period, low-skill periods, or high-skill periods). Label “AC” in a box indicates that the AC exists at the time</w:t>
      </w:r>
      <w:r>
        <w:t xml:space="preserve"> shown in</w:t>
      </w:r>
      <w:r w:rsidRPr="00F131B9">
        <w:t xml:space="preserve"> th</w:t>
      </w:r>
      <w:r>
        <w:t>e</w:t>
      </w:r>
      <w:r w:rsidRPr="00F131B9">
        <w:t xml:space="preserve"> box. The red bolded time corresponds to a hypothetical time of lowest SLP of the AC when located within the Arctic during the period of interest.</w:t>
      </w:r>
      <w:r w:rsidR="001F38B5">
        <w:t xml:space="preserve"> For illustrative purposes,</w:t>
      </w:r>
      <w:r w:rsidR="001F38B5" w:rsidRPr="001F38B5">
        <w:t xml:space="preserve"> the hypothetical time is chosen to be 1200 UTC</w:t>
      </w:r>
      <w:r w:rsidR="001F38B5">
        <w:t xml:space="preserve"> </w:t>
      </w:r>
      <w:r w:rsidR="001F38B5" w:rsidRPr="00F131B9">
        <w:t>D</w:t>
      </w:r>
      <w:r w:rsidR="001F38B5" w:rsidRPr="00A00C64">
        <w:rPr>
          <w:vertAlign w:val="subscript"/>
        </w:rPr>
        <w:t>0</w:t>
      </w:r>
      <w:r w:rsidR="001F38B5" w:rsidRPr="001F38B5">
        <w:t xml:space="preserve">, but it </w:t>
      </w:r>
      <w:r w:rsidR="001F38B5">
        <w:t>could also be</w:t>
      </w:r>
      <w:r w:rsidR="001F38B5" w:rsidRPr="001F38B5">
        <w:t xml:space="preserve"> 0600 UTC D</w:t>
      </w:r>
      <w:r w:rsidR="001F38B5" w:rsidRPr="001F38B5">
        <w:rPr>
          <w:vertAlign w:val="subscript"/>
        </w:rPr>
        <w:t>0</w:t>
      </w:r>
      <w:r w:rsidR="001F38B5">
        <w:t xml:space="preserve"> </w:t>
      </w:r>
      <w:r w:rsidR="001F38B5" w:rsidRPr="001F38B5">
        <w:t>or 1800 UTC</w:t>
      </w:r>
      <w:r w:rsidR="001F38B5">
        <w:t xml:space="preserve"> </w:t>
      </w:r>
      <w:r w:rsidR="001F38B5" w:rsidRPr="00F131B9">
        <w:t>D</w:t>
      </w:r>
      <w:r w:rsidR="001F38B5" w:rsidRPr="00A00C64">
        <w:rPr>
          <w:vertAlign w:val="subscript"/>
        </w:rPr>
        <w:t>0</w:t>
      </w:r>
      <w:r w:rsidR="001F38B5" w:rsidRPr="001F38B5">
        <w:t>.</w:t>
      </w:r>
      <w:r w:rsidR="001F38B5">
        <w:t xml:space="preserve"> </w:t>
      </w:r>
      <w:r w:rsidRPr="00F131B9">
        <w:t>A thick black border around a box indicates a surrounding 0000 UTC time that is considered to be a candidate verification time, which is a time for which</w:t>
      </w:r>
      <w:r w:rsidR="00427E2F" w:rsidRPr="00427E2F">
        <w:t xml:space="preserve"> </w:t>
      </w:r>
      <w:r w:rsidR="00427E2F" w:rsidRPr="00C03B99">
        <w:t xml:space="preserve">the following two criteria </w:t>
      </w:r>
      <w:r w:rsidR="00427E2F">
        <w:t>are met:</w:t>
      </w:r>
      <w:r w:rsidRPr="00F131B9">
        <w:t xml:space="preserve"> 1) the AC exists at that surrounding 0000 UTC time (box </w:t>
      </w:r>
      <w:r w:rsidR="009722B8">
        <w:t>contains</w:t>
      </w:r>
      <w:r w:rsidRPr="00F131B9">
        <w:t xml:space="preserve"> label “AC”), and 2) that surrounding 0000 UTC time occurs during the period of interest (box</w:t>
      </w:r>
      <w:r w:rsidR="009722B8">
        <w:t xml:space="preserve"> is</w:t>
      </w:r>
      <w:r w:rsidRPr="00F131B9">
        <w:t xml:space="preserve"> gr</w:t>
      </w:r>
      <w:r>
        <w:t>a</w:t>
      </w:r>
      <w:r w:rsidRPr="00F131B9">
        <w:t>y).</w:t>
      </w:r>
    </w:p>
    <w:p w14:paraId="33C8F99F" w14:textId="08944120" w:rsidR="00F131B9" w:rsidRDefault="00F131B9" w:rsidP="00A00C64">
      <w:pPr>
        <w:ind w:firstLine="0"/>
      </w:pPr>
    </w:p>
    <w:p w14:paraId="3A931CC7" w14:textId="77777777" w:rsidR="00A00C64" w:rsidRDefault="00A00C64" w:rsidP="00A00C64">
      <w:pPr>
        <w:ind w:firstLine="0"/>
      </w:pPr>
    </w:p>
    <w:p w14:paraId="0722BBA1" w14:textId="18975034" w:rsidR="006266F2" w:rsidRPr="006266F2" w:rsidRDefault="00757713" w:rsidP="00CA5F08">
      <w:r>
        <w:t>The</w:t>
      </w:r>
      <w:r w:rsidR="006266F2" w:rsidRPr="006266F2">
        <w:t xml:space="preserve"> objective SLP-based cyclone tracking algorithm developed by Crawford et al. (2021) is used to track cyclones </w:t>
      </w:r>
      <w:r w:rsidR="002D24D3">
        <w:t xml:space="preserve">every 6 h over the Northern Hemisphere </w:t>
      </w:r>
      <w:r w:rsidR="006266F2" w:rsidRPr="006266F2">
        <w:t xml:space="preserve">in ensemble forecasts initialized 1–7 days, every 1 day, prior to the verification time of each analysis AC. </w:t>
      </w:r>
      <w:r w:rsidR="002D24D3">
        <w:t>Ensemble SLP</w:t>
      </w:r>
      <w:r w:rsidR="002D24D3" w:rsidRPr="00163F86">
        <w:t xml:space="preserve"> data at 1° horizontal </w:t>
      </w:r>
      <w:r w:rsidR="00311484">
        <w:t xml:space="preserve">grid </w:t>
      </w:r>
      <w:r w:rsidR="006E4336">
        <w:t>spacing</w:t>
      </w:r>
      <w:r w:rsidR="002D24D3" w:rsidRPr="00163F86">
        <w:t xml:space="preserve"> that is </w:t>
      </w:r>
      <w:proofErr w:type="spellStart"/>
      <w:r w:rsidR="002D24D3" w:rsidRPr="00163F86">
        <w:t>regridded</w:t>
      </w:r>
      <w:proofErr w:type="spellEnd"/>
      <w:r w:rsidR="002D24D3" w:rsidRPr="00163F86">
        <w:t xml:space="preserve"> to </w:t>
      </w:r>
      <w:r w:rsidR="002D24D3">
        <w:t>the</w:t>
      </w:r>
      <w:r w:rsidR="002D24D3" w:rsidRPr="00163F86">
        <w:t xml:space="preserve"> 50-km north-polar Lambert azimuthal equal-area grid (</w:t>
      </w:r>
      <w:proofErr w:type="spellStart"/>
      <w:r w:rsidR="002D24D3" w:rsidRPr="00163F86">
        <w:t>Brodzik</w:t>
      </w:r>
      <w:proofErr w:type="spellEnd"/>
      <w:r w:rsidR="002D24D3" w:rsidRPr="00163F86">
        <w:t xml:space="preserve"> et al. 2012) is used as input for the tracking algorithm</w:t>
      </w:r>
      <w:r w:rsidR="002D24D3">
        <w:t xml:space="preserve">. </w:t>
      </w:r>
      <w:r w:rsidR="006266F2" w:rsidRPr="006266F2">
        <w:t xml:space="preserve">A </w:t>
      </w:r>
      <w:r w:rsidR="006266F2" w:rsidRPr="006266F2">
        <w:lastRenderedPageBreak/>
        <w:t xml:space="preserve">cyclone matching procedure developed by </w:t>
      </w:r>
      <w:proofErr w:type="spellStart"/>
      <w:r w:rsidR="006266F2" w:rsidRPr="006266F2">
        <w:t>Korfe</w:t>
      </w:r>
      <w:proofErr w:type="spellEnd"/>
      <w:r w:rsidR="006266F2" w:rsidRPr="006266F2">
        <w:t xml:space="preserve"> and</w:t>
      </w:r>
      <w:r w:rsidR="006266F2">
        <w:t xml:space="preserve"> </w:t>
      </w:r>
      <w:r w:rsidR="006266F2" w:rsidRPr="006266F2">
        <w:t xml:space="preserve">Colle (2018) to match extratropical cyclone tracks in </w:t>
      </w:r>
      <w:r w:rsidR="006C1F31">
        <w:t xml:space="preserve">the </w:t>
      </w:r>
      <w:r w:rsidR="006266F2" w:rsidRPr="006266F2">
        <w:t>ERA-Interim with those in ensemble</w:t>
      </w:r>
      <w:r w:rsidR="006266F2">
        <w:t xml:space="preserve"> </w:t>
      </w:r>
      <w:r w:rsidR="006266F2" w:rsidRPr="006266F2">
        <w:t>forecasts of various EPSs is adapted to match the analysis ACs with cyclones in the ensemble</w:t>
      </w:r>
      <w:r w:rsidR="006266F2">
        <w:t xml:space="preserve"> </w:t>
      </w:r>
      <w:r w:rsidR="006266F2" w:rsidRPr="006266F2">
        <w:t xml:space="preserve">forecasts. </w:t>
      </w:r>
      <w:r w:rsidR="00CA5F08" w:rsidRPr="00CA7E79">
        <w:t xml:space="preserve">The adapted matching procedure </w:t>
      </w:r>
      <w:r w:rsidR="00796325">
        <w:t>matches a</w:t>
      </w:r>
      <w:r w:rsidR="00CA5F08" w:rsidRPr="00CA7E79">
        <w:t xml:space="preserve"> cyclone i</w:t>
      </w:r>
      <w:r w:rsidR="00D85A7B">
        <w:t xml:space="preserve">n an ensemble forecast </w:t>
      </w:r>
      <w:r w:rsidR="00985B4B">
        <w:t>with</w:t>
      </w:r>
      <w:r w:rsidR="00CA5F08" w:rsidRPr="00CA7E79">
        <w:t xml:space="preserve"> a given analysis AC based on criteria that require the cyclone in the ensemble forecast and the given analysis AC to be located sufficiently close to </w:t>
      </w:r>
      <w:r w:rsidR="00937317">
        <w:t>each other</w:t>
      </w:r>
      <w:r w:rsidR="006C1F31">
        <w:t xml:space="preserve"> in space</w:t>
      </w:r>
      <w:r w:rsidR="00937317">
        <w:t xml:space="preserve"> and to</w:t>
      </w:r>
      <w:r w:rsidR="006C1F31">
        <w:t xml:space="preserve"> be</w:t>
      </w:r>
      <w:r w:rsidR="00937317">
        <w:t xml:space="preserve"> sufficiently </w:t>
      </w:r>
      <w:r w:rsidR="006C1F31">
        <w:t>coincident</w:t>
      </w:r>
      <w:r w:rsidR="00314444">
        <w:t xml:space="preserve"> in time</w:t>
      </w:r>
      <w:r w:rsidR="00CA5F08" w:rsidRPr="00CA7E79">
        <w:t>.</w:t>
      </w:r>
      <w:r w:rsidR="00CA5F08">
        <w:t xml:space="preserve"> </w:t>
      </w:r>
      <w:r w:rsidR="00F95FE1" w:rsidRPr="00F95FE1">
        <w:t xml:space="preserve">For each cyclone </w:t>
      </w:r>
      <w:r w:rsidR="00E77F5A">
        <w:t xml:space="preserve">with a lifetime of </w:t>
      </w:r>
      <w:r w:rsidR="00E77F5A" w:rsidRPr="00E77F5A">
        <w:t xml:space="preserve">≥ 24 h </w:t>
      </w:r>
      <w:r w:rsidR="00F95FE1" w:rsidRPr="00F95FE1">
        <w:t xml:space="preserve">in the ensemble forecast, the percentage of 6-h time steps of the given analysis AC track for which the center of the cyclone is ≤ 1200 km from the center of the given analysis AC, and is the closest among the centers of all </w:t>
      </w:r>
      <w:r w:rsidR="00F95FE1">
        <w:t xml:space="preserve">cyclones </w:t>
      </w:r>
      <w:r w:rsidR="00F95FE1" w:rsidRPr="00F95FE1">
        <w:t xml:space="preserve">to the center of the given analysis AC, is </w:t>
      </w:r>
      <w:r w:rsidR="00F95FE1">
        <w:t>determined</w:t>
      </w:r>
      <w:r w:rsidR="00F95FE1" w:rsidRPr="00F95FE1">
        <w:t xml:space="preserve">. </w:t>
      </w:r>
      <w:r w:rsidR="00F95FE1">
        <w:rPr>
          <w:color w:val="222222"/>
        </w:rPr>
        <w:t xml:space="preserve">The cyclone </w:t>
      </w:r>
      <w:r w:rsidR="00F95FE1" w:rsidRPr="00031369">
        <w:rPr>
          <w:color w:val="222222"/>
        </w:rPr>
        <w:t>associated with the aforementioned percentage that is the largest and ≥</w:t>
      </w:r>
      <w:r w:rsidR="00F95FE1">
        <w:rPr>
          <w:color w:val="222222"/>
        </w:rPr>
        <w:t xml:space="preserve"> 40% is recorded. </w:t>
      </w:r>
      <w:r w:rsidR="00F95FE1" w:rsidRPr="00F95FE1">
        <w:t xml:space="preserve">If at least 40% of the 6-h time steps of the recorded cyclone coincide in time with those of the analysis AC, the recorded cyclone is considered to be </w:t>
      </w:r>
      <w:r w:rsidR="00F95FE1">
        <w:t>a</w:t>
      </w:r>
      <w:r w:rsidR="00F95FE1" w:rsidRPr="00F95FE1">
        <w:t xml:space="preserve"> </w:t>
      </w:r>
      <w:r w:rsidR="00F95FE1">
        <w:t>“</w:t>
      </w:r>
      <w:r w:rsidR="00F95FE1" w:rsidRPr="00F95FE1">
        <w:t>matching forecast AC</w:t>
      </w:r>
      <w:r w:rsidR="00F95FE1">
        <w:t xml:space="preserve">.” </w:t>
      </w:r>
      <w:r w:rsidR="006266F2" w:rsidRPr="006266F2">
        <w:t xml:space="preserve">Readers interested in further documentation </w:t>
      </w:r>
      <w:r w:rsidR="00813B00">
        <w:t>are</w:t>
      </w:r>
      <w:r w:rsidR="006266F2" w:rsidRPr="006266F2">
        <w:t xml:space="preserve"> refer</w:t>
      </w:r>
      <w:r w:rsidR="00813B00">
        <w:t>red</w:t>
      </w:r>
      <w:r w:rsidR="006266F2" w:rsidRPr="006266F2">
        <w:t xml:space="preserve"> to </w:t>
      </w:r>
      <w:proofErr w:type="spellStart"/>
      <w:r w:rsidR="006266F2" w:rsidRPr="006266F2">
        <w:t>Biernat</w:t>
      </w:r>
      <w:proofErr w:type="spellEnd"/>
      <w:r w:rsidR="006266F2" w:rsidRPr="006266F2">
        <w:t xml:space="preserve"> [2021, section 2</w:t>
      </w:r>
      <w:proofErr w:type="gramStart"/>
      <w:r w:rsidR="006266F2" w:rsidRPr="006266F2">
        <w:t>b(</w:t>
      </w:r>
      <w:proofErr w:type="gramEnd"/>
      <w:r w:rsidR="006266F2" w:rsidRPr="006266F2">
        <w:t>4)].</w:t>
      </w:r>
    </w:p>
    <w:p w14:paraId="273231B3" w14:textId="78EB8262" w:rsidR="00947A0B" w:rsidRDefault="00947A0B" w:rsidP="00947A0B">
      <w:pPr>
        <w:pStyle w:val="ParagraphText"/>
      </w:pPr>
      <w:r w:rsidRPr="00074782">
        <w:t xml:space="preserve">A minimum number of ensemble members with a matching forecast AC occurring at the verification time for a given analysis AC and a given forecast lead time is needed to evaluate the forecast skill of the given analysis AC for the given forecast lead time. Following Froude (2010), </w:t>
      </w:r>
      <w:r w:rsidR="00FD5E33">
        <w:t xml:space="preserve">the present study </w:t>
      </w:r>
      <w:r w:rsidRPr="00074782">
        <w:t>requires that ≥ 5 (out of 11) ensemble members have a matching forecast AC occurring at the verification time for a given analysis AC and a given forecast lead time</w:t>
      </w:r>
      <w:r w:rsidR="00546D3F">
        <w:t>. The f</w:t>
      </w:r>
      <w:r>
        <w:t>orecast skill of the intensity of a given analys</w:t>
      </w:r>
      <w:r w:rsidR="00546D3F">
        <w:t xml:space="preserve">is AC for a given forecast lead </w:t>
      </w:r>
      <w:r>
        <w:t>time is determined by calculating the intensity RMSE via</w:t>
      </w:r>
    </w:p>
    <w:p w14:paraId="01CD57BD" w14:textId="5204E4AE" w:rsidR="00947A0B" w:rsidRPr="00074782" w:rsidRDefault="00A54AD0" w:rsidP="00947A0B">
      <w:pPr>
        <w:spacing w:line="480" w:lineRule="auto"/>
        <w:jc w:val="right"/>
      </w:pPr>
      <m:oMath>
        <m:r>
          <m:rPr>
            <m:sty m:val="p"/>
          </m:rPr>
          <w:rPr>
            <w:rFonts w:ascii="Cambria Math" w:hAnsi="Cambria Math"/>
          </w:rPr>
          <m:t>RMSE</m:t>
        </m:r>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rPr>
                          <m:t>-O</m:t>
                        </m:r>
                      </m:e>
                    </m:d>
                  </m:e>
                  <m:sup>
                    <m:r>
                      <w:rPr>
                        <w:rFonts w:ascii="Cambria Math" w:hAnsi="Cambria Math"/>
                      </w:rPr>
                      <m:t>2</m:t>
                    </m:r>
                  </m:sup>
                </m:sSup>
              </m:e>
            </m:nary>
          </m:e>
        </m:rad>
      </m:oMath>
      <w:r w:rsidR="00947A0B" w:rsidRPr="00074782">
        <w:t xml:space="preserve"> </w:t>
      </w:r>
      <w:proofErr w:type="gramStart"/>
      <w:r w:rsidR="00947A0B" w:rsidRPr="00074782">
        <w:t xml:space="preserve">,   </w:t>
      </w:r>
      <w:proofErr w:type="gramEnd"/>
      <w:r w:rsidR="00947A0B">
        <w:t xml:space="preserve">                                             </w:t>
      </w:r>
      <w:r w:rsidR="00947A0B" w:rsidRPr="00074782">
        <w:t>(</w:t>
      </w:r>
      <w:r w:rsidR="001841D4">
        <w:t>3</w:t>
      </w:r>
      <w:r w:rsidR="00947A0B" w:rsidRPr="00074782">
        <w:t>)</w:t>
      </w:r>
    </w:p>
    <w:p w14:paraId="3E4DBB7D" w14:textId="5A77233A" w:rsidR="00947A0B" w:rsidRDefault="00947A0B" w:rsidP="00947A0B">
      <w:pPr>
        <w:pStyle w:val="ParagraphText"/>
        <w:ind w:firstLine="0"/>
      </w:pPr>
      <w:r>
        <w:t xml:space="preserve">where </w:t>
      </w:r>
      <w:r w:rsidRPr="00EA1DD0">
        <w:rPr>
          <w:i/>
        </w:rPr>
        <w:t>N</w:t>
      </w:r>
      <w:r>
        <w:t xml:space="preserve"> denotes the number of ensemble members with a matching forecast AC occurring at the verification time, </w:t>
      </w:r>
      <w:r w:rsidRPr="00EA1DD0">
        <w:rPr>
          <w:i/>
        </w:rPr>
        <w:t>n</w:t>
      </w:r>
      <w:r>
        <w:t xml:space="preserve"> denotes the nth ensemble member, </w:t>
      </w:r>
      <w:proofErr w:type="spellStart"/>
      <w:r w:rsidRPr="00546D3F">
        <w:rPr>
          <w:i/>
        </w:rPr>
        <w:t>f</w:t>
      </w:r>
      <w:r w:rsidRPr="00EA1DD0">
        <w:rPr>
          <w:i/>
          <w:vertAlign w:val="subscript"/>
        </w:rPr>
        <w:t>n</w:t>
      </w:r>
      <w:proofErr w:type="spellEnd"/>
      <w:r>
        <w:t xml:space="preserve"> denotes the minimum SLP of the matching forecast AC for the nth ensemble member at the verification time, and </w:t>
      </w:r>
      <w:r w:rsidRPr="00546D3F">
        <w:rPr>
          <w:i/>
        </w:rPr>
        <w:t>O</w:t>
      </w:r>
      <w:r>
        <w:t xml:space="preserve"> denotes the minimum SLP of the given analysi</w:t>
      </w:r>
      <w:r w:rsidR="00546D3F">
        <w:t>s AC at the verification time. The f</w:t>
      </w:r>
      <w:r>
        <w:t>orecast skill of the position of a given analysis AC for a given forecast lead time is determined by calculating the position RMSE via Eq. (</w:t>
      </w:r>
      <w:r w:rsidR="001841D4">
        <w:t>3</w:t>
      </w:r>
      <w:r>
        <w:t xml:space="preserve">), except that </w:t>
      </w:r>
      <w:proofErr w:type="spellStart"/>
      <w:r w:rsidRPr="00546D3F">
        <w:rPr>
          <w:i/>
        </w:rPr>
        <w:t>f</w:t>
      </w:r>
      <w:r w:rsidRPr="0041012F">
        <w:rPr>
          <w:i/>
          <w:vertAlign w:val="subscript"/>
        </w:rPr>
        <w:t>n</w:t>
      </w:r>
      <w:proofErr w:type="spellEnd"/>
      <w:r w:rsidR="006E71F7">
        <w:rPr>
          <w:i/>
          <w:vertAlign w:val="subscript"/>
        </w:rPr>
        <w:t xml:space="preserve"> </w:t>
      </w:r>
      <w:r>
        <w:t>−</w:t>
      </w:r>
      <w:r w:rsidR="006E71F7">
        <w:t xml:space="preserve"> </w:t>
      </w:r>
      <w:r w:rsidRPr="00546D3F">
        <w:rPr>
          <w:i/>
        </w:rPr>
        <w:t>O</w:t>
      </w:r>
      <w:r>
        <w:t xml:space="preserve"> now represents the great circle distance between the center of the matching forecast AC for the nth ensemble member and the center of the given analysis AC. </w:t>
      </w:r>
    </w:p>
    <w:p w14:paraId="78FAB55C" w14:textId="56B7F83B" w:rsidR="00947A0B" w:rsidRDefault="00947A0B" w:rsidP="00947A0B">
      <w:pPr>
        <w:pStyle w:val="ParagraphText"/>
      </w:pPr>
      <w:r>
        <w:lastRenderedPageBreak/>
        <w:t>T</w:t>
      </w:r>
      <w:r w:rsidRPr="00947A0B">
        <w:t xml:space="preserve">he following four “skill categories” of ACs are determined based on intensity RMSE for the 5-day lead time: low-skill ACs during low-skill periods, high-skill ACs during low-skill periods, low-skill ACs during high-skill periods, and high-skill ACs during high-skill periods. </w:t>
      </w:r>
      <w:r>
        <w:t>L</w:t>
      </w:r>
      <w:r w:rsidRPr="00947A0B">
        <w:t>ow-skill ACs during low-skill periods and high-ski</w:t>
      </w:r>
      <w:r>
        <w:t xml:space="preserve">ll ACs during low-skill periods are defined as </w:t>
      </w:r>
      <w:r w:rsidRPr="00947A0B">
        <w:t>ACs during low-skill periods associated with the top and bottom 25% of intensity RMSE</w:t>
      </w:r>
      <w:r w:rsidR="004D642C">
        <w:t xml:space="preserve"> </w:t>
      </w:r>
      <w:r>
        <w:t>for the 5-day lead time</w:t>
      </w:r>
      <w:r w:rsidR="004D642C">
        <w:t>, respectively</w:t>
      </w:r>
      <w:r>
        <w:t xml:space="preserve">. </w:t>
      </w:r>
      <w:r w:rsidR="00E125C1">
        <w:t>Similarly</w:t>
      </w:r>
      <w:r>
        <w:t>, low-skill ACs during high</w:t>
      </w:r>
      <w:r w:rsidRPr="00947A0B">
        <w:t>-skill periods and high-ski</w:t>
      </w:r>
      <w:r>
        <w:t>ll ACs during high-skill periods are defined as ACs during high</w:t>
      </w:r>
      <w:r w:rsidRPr="00947A0B">
        <w:t>-skill periods associated with the top and bottom 25% of intensity RMSE</w:t>
      </w:r>
      <w:r w:rsidR="004D642C">
        <w:t xml:space="preserve"> </w:t>
      </w:r>
      <w:r>
        <w:t>for the 5-day lead time</w:t>
      </w:r>
      <w:r w:rsidR="004D642C">
        <w:t>, respectively</w:t>
      </w:r>
      <w:r>
        <w:t>.</w:t>
      </w:r>
      <w:r w:rsidRPr="00947A0B">
        <w:t xml:space="preserve"> </w:t>
      </w:r>
      <w:r>
        <w:t>The 5-day lead time is chosen</w:t>
      </w:r>
      <w:r w:rsidRPr="00074782">
        <w:t xml:space="preserve"> for consistency with usi</w:t>
      </w:r>
      <w:r w:rsidR="002B29FF">
        <w:t>ng forecasts of</w:t>
      </w:r>
      <w:r w:rsidR="009425CD">
        <w:t xml:space="preserve"> 5-day lead time to evaluate</w:t>
      </w:r>
      <w:r w:rsidRPr="00074782">
        <w:t xml:space="preserve"> </w:t>
      </w:r>
      <w:r>
        <w:t xml:space="preserve">the </w:t>
      </w:r>
      <w:r w:rsidRPr="00074782">
        <w:t>forecast skill of the synoptic-scale flow over the Arctic.</w:t>
      </w:r>
      <w:r w:rsidR="007A706D" w:rsidRPr="007A706D">
        <w:t xml:space="preserve"> </w:t>
      </w:r>
      <w:r w:rsidR="007A706D">
        <w:t xml:space="preserve">The </w:t>
      </w:r>
      <w:r w:rsidR="004871BB">
        <w:t xml:space="preserve">dynamic and thermodynamic </w:t>
      </w:r>
      <w:r w:rsidR="007A706D">
        <w:t>quantities introduced in section 2c</w:t>
      </w:r>
      <w:r w:rsidR="003A58C7">
        <w:t xml:space="preserve"> and </w:t>
      </w:r>
      <w:r w:rsidR="006C1F31">
        <w:t xml:space="preserve">the </w:t>
      </w:r>
      <w:r w:rsidR="003A58C7">
        <w:t>minimum SLP</w:t>
      </w:r>
      <w:r w:rsidR="00492AB5">
        <w:t xml:space="preserve"> introduced</w:t>
      </w:r>
      <w:r w:rsidR="006C1F31">
        <w:t xml:space="preserve"> in section 2c</w:t>
      </w:r>
      <w:r w:rsidR="007A706D">
        <w:t xml:space="preserve"> are used to characterize the aforementioned four skill categories of ACs.</w:t>
      </w:r>
      <w:r w:rsidR="007A706D" w:rsidRPr="007A706D">
        <w:t xml:space="preserve"> </w:t>
      </w:r>
      <w:r w:rsidR="007A706D">
        <w:t>W</w:t>
      </w:r>
      <w:r w:rsidR="005B1C0B">
        <w:t>h</w:t>
      </w:r>
      <w:r w:rsidR="007A706D">
        <w:t xml:space="preserve">ile the aforementioned four skill categories of ACs </w:t>
      </w:r>
      <w:r w:rsidR="004871BB">
        <w:t>will be emphasized in section 3c</w:t>
      </w:r>
      <w:r w:rsidR="007A706D">
        <w:t xml:space="preserve">, </w:t>
      </w:r>
      <w:r w:rsidR="0069254D">
        <w:t xml:space="preserve">the corresponding </w:t>
      </w:r>
      <w:r w:rsidR="007A706D">
        <w:t xml:space="preserve">four </w:t>
      </w:r>
      <w:r w:rsidR="007A706D" w:rsidRPr="00C71989">
        <w:t>skill categories of ACs determined based on positio</w:t>
      </w:r>
      <w:r w:rsidR="007A706D">
        <w:t xml:space="preserve">n RMSE for the 5-day lead time </w:t>
      </w:r>
      <w:r w:rsidR="004871BB">
        <w:t>will be</w:t>
      </w:r>
      <w:r w:rsidR="007A706D">
        <w:t xml:space="preserve"> considered</w:t>
      </w:r>
      <w:r w:rsidR="00A51F58">
        <w:t xml:space="preserve"> briefly</w:t>
      </w:r>
      <w:r w:rsidR="004871BB">
        <w:t xml:space="preserve"> in section 3c</w:t>
      </w:r>
      <w:r w:rsidR="007A706D" w:rsidRPr="00C71989">
        <w:t>.</w:t>
      </w:r>
    </w:p>
    <w:p w14:paraId="58CC9BB4" w14:textId="2313B87B" w:rsidR="00816E83" w:rsidRDefault="00531211" w:rsidP="00A00C64">
      <w:pPr>
        <w:pStyle w:val="ParagraphText"/>
      </w:pPr>
      <w:r w:rsidRPr="004C5A72">
        <w:t xml:space="preserve">Bootstrap resampling with replacement </w:t>
      </w:r>
      <w:r w:rsidR="00DA49A6">
        <w:t xml:space="preserve">tests </w:t>
      </w:r>
      <w:proofErr w:type="gramStart"/>
      <w:r w:rsidR="00DA49A6">
        <w:t>are</w:t>
      </w:r>
      <w:proofErr w:type="gramEnd"/>
      <w:r w:rsidRPr="004C5A72">
        <w:t xml:space="preserve"> used to determi</w:t>
      </w:r>
      <w:r w:rsidR="00797A26">
        <w:t>ne statistical significance</w:t>
      </w:r>
      <w:r w:rsidR="00996AE1">
        <w:t xml:space="preserve"> at the 95% confidence level</w:t>
      </w:r>
      <w:r w:rsidR="00797A26">
        <w:t xml:space="preserve"> of </w:t>
      </w:r>
      <w:r w:rsidR="00480840">
        <w:t xml:space="preserve">the following </w:t>
      </w:r>
      <w:r w:rsidRPr="004C5A72">
        <w:t>quantities</w:t>
      </w:r>
      <w:r w:rsidR="00480840">
        <w:t>:</w:t>
      </w:r>
      <w:r w:rsidR="00996AE1">
        <w:t xml:space="preserve"> area-averaged RMSE of 500-hPa geopotential height </w:t>
      </w:r>
      <w:r w:rsidR="00A51F58">
        <w:t>and</w:t>
      </w:r>
      <w:r w:rsidR="00996AE1">
        <w:t xml:space="preserve"> </w:t>
      </w:r>
      <w:r w:rsidR="00996AE1" w:rsidRPr="003530C8">
        <w:t>σ</w:t>
      </w:r>
      <w:r w:rsidR="00996AE1" w:rsidRPr="003530C8">
        <w:rPr>
          <w:vertAlign w:val="subscript"/>
        </w:rPr>
        <w:t>RMSE</w:t>
      </w:r>
      <w:r w:rsidR="00996AE1">
        <w:t xml:space="preserve"> of 500-hPa geopotential height</w:t>
      </w:r>
      <w:r w:rsidR="00A51F58">
        <w:t xml:space="preserve"> over the Arctic</w:t>
      </w:r>
      <w:r w:rsidR="00996AE1">
        <w:t xml:space="preserve">, the dynamic and thermodynamic quantities introduced in section 2c, </w:t>
      </w:r>
      <w:r w:rsidR="006C1F31">
        <w:t xml:space="preserve">the </w:t>
      </w:r>
      <w:r w:rsidR="003A58C7">
        <w:t>minimum SLP</w:t>
      </w:r>
      <w:r w:rsidR="00492AB5">
        <w:t xml:space="preserve"> introduced</w:t>
      </w:r>
      <w:r w:rsidR="006C1F31">
        <w:t xml:space="preserve"> in section 2c</w:t>
      </w:r>
      <w:r w:rsidR="003A58C7">
        <w:t xml:space="preserve">, </w:t>
      </w:r>
      <w:r w:rsidR="00996AE1">
        <w:t>and the intensity RMSE and position RMSE of ACs.</w:t>
      </w:r>
      <w:r w:rsidRPr="004C5A72">
        <w:t xml:space="preserve"> </w:t>
      </w:r>
      <w:r w:rsidR="00996AE1">
        <w:t>Two types of test</w:t>
      </w:r>
      <w:r w:rsidR="00B81F21">
        <w:t>s</w:t>
      </w:r>
      <w:r w:rsidR="00996AE1">
        <w:t xml:space="preserve"> </w:t>
      </w:r>
      <w:r w:rsidR="00B81F21">
        <w:t>are</w:t>
      </w:r>
      <w:r w:rsidR="009B1191">
        <w:t xml:space="preserve"> used</w:t>
      </w:r>
      <w:r w:rsidR="006B4D52">
        <w:t>:</w:t>
      </w:r>
      <w:r w:rsidR="00996AE1">
        <w:t xml:space="preserve"> The first type</w:t>
      </w:r>
      <w:r w:rsidR="00480840">
        <w:t xml:space="preserve"> </w:t>
      </w:r>
      <w:r w:rsidR="00F34064">
        <w:t>determines the</w:t>
      </w:r>
      <w:r w:rsidRPr="004C5A72">
        <w:t xml:space="preserve"> statisti</w:t>
      </w:r>
      <w:r>
        <w:t>cal significance</w:t>
      </w:r>
      <w:r w:rsidR="00996AE1">
        <w:t xml:space="preserve"> </w:t>
      </w:r>
      <w:r>
        <w:t xml:space="preserve">of a quantity </w:t>
      </w:r>
      <w:r w:rsidRPr="004C5A72">
        <w:t>for a subgroup (e.g., ACs during low-skill periods) with respect to a corresponding climatological group (e.g., ACs during</w:t>
      </w:r>
      <w:r w:rsidR="008E4198">
        <w:t xml:space="preserve"> the</w:t>
      </w:r>
      <w:r w:rsidR="00BF0162">
        <w:t xml:space="preserve"> 2007–2017</w:t>
      </w:r>
      <w:r w:rsidRPr="004C5A72">
        <w:t xml:space="preserve"> climatolog</w:t>
      </w:r>
      <w:r w:rsidR="00BF0162">
        <w:t>ical period</w:t>
      </w:r>
      <w:r w:rsidRPr="004C5A72">
        <w:t>)</w:t>
      </w:r>
      <w:r w:rsidR="00B81F21">
        <w:t xml:space="preserve">. The second type </w:t>
      </w:r>
      <w:r w:rsidR="00F34064">
        <w:t>determines the</w:t>
      </w:r>
      <w:r w:rsidR="00B81F21">
        <w:t xml:space="preserve"> </w:t>
      </w:r>
      <w:r w:rsidR="00B81F21" w:rsidRPr="004C5A72">
        <w:t>statistical significanc</w:t>
      </w:r>
      <w:r w:rsidR="00B81F21">
        <w:t xml:space="preserve">e of differences of a quantity </w:t>
      </w:r>
      <w:r w:rsidR="00B81F21" w:rsidRPr="004C5A72">
        <w:t>between two subgroups (e.g., low-skill ACs during low-skill periods and high-skill ACs during low-skill periods) within a common group (e.g., ACs</w:t>
      </w:r>
      <w:r w:rsidR="00B81F21">
        <w:t xml:space="preserve"> during low-skill periods). Readers interested in further documentation </w:t>
      </w:r>
      <w:r w:rsidR="00670BC3">
        <w:t>are</w:t>
      </w:r>
      <w:r w:rsidR="00B81F21">
        <w:t xml:space="preserve"> refe</w:t>
      </w:r>
      <w:r w:rsidR="00670BC3">
        <w:t>rred</w:t>
      </w:r>
      <w:r w:rsidR="00B81F21">
        <w:t xml:space="preserve"> to </w:t>
      </w:r>
      <w:proofErr w:type="spellStart"/>
      <w:r w:rsidR="00B81F21">
        <w:t>Biernat</w:t>
      </w:r>
      <w:proofErr w:type="spellEnd"/>
      <w:r w:rsidR="00B81F21">
        <w:t xml:space="preserve"> [2021, section 2</w:t>
      </w:r>
      <w:proofErr w:type="gramStart"/>
      <w:r w:rsidR="00B81F21">
        <w:t>b(</w:t>
      </w:r>
      <w:proofErr w:type="gramEnd"/>
      <w:r w:rsidR="00B81F21">
        <w:t>5)].</w:t>
      </w:r>
    </w:p>
    <w:p w14:paraId="46991B47" w14:textId="6E9DC24A" w:rsidR="00A00C64" w:rsidRDefault="00A00C64" w:rsidP="00A00C64">
      <w:pPr>
        <w:pStyle w:val="ParagraphText"/>
      </w:pPr>
    </w:p>
    <w:p w14:paraId="353387A5" w14:textId="14F31BF5" w:rsidR="002D24D3" w:rsidRDefault="002D24D3" w:rsidP="00A00C64">
      <w:pPr>
        <w:pStyle w:val="ParagraphText"/>
      </w:pPr>
    </w:p>
    <w:p w14:paraId="4D843788" w14:textId="754D0F55" w:rsidR="002D24D3" w:rsidRDefault="002D24D3" w:rsidP="00A00C64">
      <w:pPr>
        <w:pStyle w:val="ParagraphText"/>
      </w:pPr>
    </w:p>
    <w:p w14:paraId="285217BB" w14:textId="77777777" w:rsidR="002D24D3" w:rsidRPr="00970377" w:rsidRDefault="002D24D3" w:rsidP="00A00C64">
      <w:pPr>
        <w:pStyle w:val="ParagraphText"/>
      </w:pPr>
    </w:p>
    <w:p w14:paraId="2B03305A" w14:textId="45DB162A" w:rsidR="00B36F8E" w:rsidRPr="003E64F4" w:rsidRDefault="00F52648" w:rsidP="00B36F8E">
      <w:pPr>
        <w:pStyle w:val="H1"/>
        <w:rPr>
          <w:szCs w:val="24"/>
        </w:rPr>
      </w:pPr>
      <w:r w:rsidRPr="003E64F4">
        <w:rPr>
          <w:szCs w:val="24"/>
        </w:rPr>
        <w:lastRenderedPageBreak/>
        <w:t>3. Results</w:t>
      </w:r>
    </w:p>
    <w:p w14:paraId="3462C410" w14:textId="02F53FD2" w:rsidR="00B36F8E" w:rsidRPr="00B36F8E" w:rsidRDefault="00B36F8E" w:rsidP="00B36F8E">
      <w:pPr>
        <w:pStyle w:val="H2"/>
        <w:rPr>
          <w:szCs w:val="24"/>
        </w:rPr>
      </w:pPr>
      <w:r w:rsidRPr="00B36F8E">
        <w:rPr>
          <w:szCs w:val="24"/>
        </w:rPr>
        <w:t xml:space="preserve">a. </w:t>
      </w:r>
      <w:r w:rsidR="00F52648" w:rsidRPr="00F52648">
        <w:rPr>
          <w:szCs w:val="24"/>
        </w:rPr>
        <w:t>Arctic forecast skill and characteristics of the Arctic environment</w:t>
      </w:r>
    </w:p>
    <w:p w14:paraId="1A51EE61" w14:textId="630E5AC7" w:rsidR="003009F5" w:rsidRDefault="009741DF" w:rsidP="003009F5">
      <w:pPr>
        <w:pStyle w:val="ParagraphText"/>
      </w:pPr>
      <w:r>
        <w:t xml:space="preserve">Figures </w:t>
      </w:r>
      <w:r w:rsidR="00520294">
        <w:t>3</w:t>
      </w:r>
      <w:r>
        <w:t xml:space="preserve">a and </w:t>
      </w:r>
      <w:r w:rsidR="00520294">
        <w:t>3</w:t>
      </w:r>
      <w:r w:rsidRPr="00074782">
        <w:t xml:space="preserve">b show the evolution of area-averaged RMSE </w:t>
      </w:r>
      <w:r w:rsidR="00975A1A">
        <w:t xml:space="preserve">of 500-hPa geopotential height </w:t>
      </w:r>
      <w:r w:rsidRPr="00074782">
        <w:t>over the Arctic and σ</w:t>
      </w:r>
      <w:r w:rsidRPr="00074782">
        <w:rPr>
          <w:vertAlign w:val="subscript"/>
        </w:rPr>
        <w:t>RMSE</w:t>
      </w:r>
      <w:r w:rsidR="00975A1A">
        <w:t xml:space="preserve"> of 500-hPa geopotential height</w:t>
      </w:r>
      <w:r w:rsidR="00B21984">
        <w:t xml:space="preserve"> over the Arctic</w:t>
      </w:r>
      <w:r w:rsidRPr="00074782">
        <w:t>, respectively,</w:t>
      </w:r>
      <w:r w:rsidR="00872C9B">
        <w:t xml:space="preserve"> </w:t>
      </w:r>
      <w:r w:rsidRPr="00074782">
        <w:t>for low-skill and high-skill forecasts during day 0–5.5, every 0.5 days</w:t>
      </w:r>
      <w:r>
        <w:t>.</w:t>
      </w:r>
      <w:r w:rsidRPr="009741DF">
        <w:t xml:space="preserve"> </w:t>
      </w:r>
      <w:r w:rsidR="00891014">
        <w:t>A</w:t>
      </w:r>
      <w:r w:rsidR="00891014" w:rsidRPr="00074782">
        <w:t xml:space="preserve">rea-averaged RMSE increases </w:t>
      </w:r>
      <w:r w:rsidR="00891014">
        <w:t>during</w:t>
      </w:r>
      <w:r w:rsidR="00891014" w:rsidRPr="00074782">
        <w:t xml:space="preserve"> day 0</w:t>
      </w:r>
      <w:r w:rsidR="00891014">
        <w:t>–5.5</w:t>
      </w:r>
      <w:r w:rsidR="00891014" w:rsidRPr="00074782">
        <w:t xml:space="preserve"> </w:t>
      </w:r>
      <w:r w:rsidR="00891014">
        <w:t xml:space="preserve">for </w:t>
      </w:r>
      <w:r w:rsidR="00891014" w:rsidRPr="00074782">
        <w:t>both low-skill forecasts a</w:t>
      </w:r>
      <w:r w:rsidR="00452544">
        <w:t xml:space="preserve">nd high-skill forecasts (Fig. </w:t>
      </w:r>
      <w:r w:rsidR="00520294">
        <w:t>3</w:t>
      </w:r>
      <w:r w:rsidR="00891014" w:rsidRPr="00074782">
        <w:t>a)</w:t>
      </w:r>
      <w:r w:rsidR="00891014">
        <w:t>, but</w:t>
      </w:r>
      <w:r w:rsidR="00891014" w:rsidRPr="00074782">
        <w:t xml:space="preserve"> increases </w:t>
      </w:r>
      <w:r w:rsidR="00891014">
        <w:t xml:space="preserve">at </w:t>
      </w:r>
      <w:r w:rsidR="00891014" w:rsidRPr="00074782">
        <w:t>a faster rate for low-skill forecasts compar</w:t>
      </w:r>
      <w:r w:rsidR="00891014">
        <w:t xml:space="preserve">ed to high-skill forecasts </w:t>
      </w:r>
      <w:r w:rsidR="00452544">
        <w:t xml:space="preserve">(Fig. </w:t>
      </w:r>
      <w:r w:rsidR="00520294">
        <w:t>3</w:t>
      </w:r>
      <w:r w:rsidR="00891014" w:rsidRPr="00074782">
        <w:t>a)</w:t>
      </w:r>
      <w:r w:rsidR="00891014">
        <w:t>. In addition, area-averaged RMSE is</w:t>
      </w:r>
      <w:r w:rsidR="00891014" w:rsidRPr="00074782">
        <w:t xml:space="preserve"> </w:t>
      </w:r>
      <w:r w:rsidR="00BB34FA" w:rsidRPr="00074782">
        <w:t xml:space="preserve">statistically significantly high and low relative to climatology for low-skill forecasts and high-skill forecasts, respectively, </w:t>
      </w:r>
      <w:r w:rsidR="00BB34FA">
        <w:t xml:space="preserve">for </w:t>
      </w:r>
      <w:r w:rsidR="00D50DB4">
        <w:t>day</w:t>
      </w:r>
      <w:r w:rsidR="00BB34FA" w:rsidRPr="00074782">
        <w:t xml:space="preserve"> </w:t>
      </w:r>
      <w:r w:rsidR="001D49A1">
        <w:t>1</w:t>
      </w:r>
      <w:r w:rsidR="00BB34FA">
        <w:t xml:space="preserve">–5.5 (Fig. </w:t>
      </w:r>
      <w:r w:rsidR="00520294">
        <w:t>3</w:t>
      </w:r>
      <w:r w:rsidR="00BB34FA">
        <w:t>a)</w:t>
      </w:r>
      <w:r>
        <w:t>.</w:t>
      </w:r>
      <w:r w:rsidR="0056395D">
        <w:t xml:space="preserve"> </w:t>
      </w:r>
      <w:r w:rsidR="004D4B53">
        <w:t>The quantity</w:t>
      </w:r>
      <w:r w:rsidR="0056395D">
        <w:t xml:space="preserve"> </w:t>
      </w:r>
      <w:r w:rsidR="0056395D" w:rsidRPr="00074782">
        <w:t>σ</w:t>
      </w:r>
      <w:r w:rsidR="0056395D" w:rsidRPr="00074782">
        <w:rPr>
          <w:vertAlign w:val="subscript"/>
        </w:rPr>
        <w:t>RMSE</w:t>
      </w:r>
      <w:r w:rsidR="0056395D" w:rsidRPr="00074782">
        <w:t xml:space="preserve"> increases and decreases throughout most of day 0</w:t>
      </w:r>
      <w:r w:rsidR="0056395D">
        <w:t>–5.5</w:t>
      </w:r>
      <w:r w:rsidR="0056395D" w:rsidRPr="00074782">
        <w:t xml:space="preserve"> for low-skill forecasts and high-skill forecasts, respectively</w:t>
      </w:r>
      <w:r w:rsidR="0056395D">
        <w:t xml:space="preserve"> (Fig. </w:t>
      </w:r>
      <w:r w:rsidR="00520294">
        <w:t>3</w:t>
      </w:r>
      <w:r w:rsidR="0056395D">
        <w:t xml:space="preserve">b), and </w:t>
      </w:r>
      <w:r w:rsidR="0056395D" w:rsidRPr="007C1DF9">
        <w:t>plateaus at day 5 for low-skill forecasts and</w:t>
      </w:r>
      <w:r w:rsidR="009042ED">
        <w:t xml:space="preserve"> </w:t>
      </w:r>
      <w:r w:rsidR="00D80A2F">
        <w:t xml:space="preserve">at </w:t>
      </w:r>
      <w:r w:rsidR="009042ED">
        <w:t>day 5.5 for</w:t>
      </w:r>
      <w:r w:rsidR="0056395D" w:rsidRPr="007C1DF9">
        <w:t xml:space="preserve"> high-skill forecasts (Fig. </w:t>
      </w:r>
      <w:r w:rsidR="00520294">
        <w:t>3</w:t>
      </w:r>
      <w:r w:rsidR="0056395D" w:rsidRPr="007C1DF9">
        <w:t>b).</w:t>
      </w:r>
      <w:r w:rsidR="0056395D">
        <w:t xml:space="preserve"> The</w:t>
      </w:r>
      <w:r w:rsidR="0056395D" w:rsidRPr="00074782">
        <w:t xml:space="preserve"> increase and decrease in σ</w:t>
      </w:r>
      <w:r w:rsidR="0056395D" w:rsidRPr="00074782">
        <w:rPr>
          <w:vertAlign w:val="subscript"/>
        </w:rPr>
        <w:t>RMSE</w:t>
      </w:r>
      <w:r w:rsidR="0056395D" w:rsidRPr="00074782">
        <w:t xml:space="preserve"> throughout most of day 0</w:t>
      </w:r>
      <w:r w:rsidR="0056395D">
        <w:t>–5.5</w:t>
      </w:r>
      <w:r w:rsidR="0056395D" w:rsidRPr="00074782">
        <w:t xml:space="preserve"> for low-skill forecasts and high-skill forecasts, respectively, indicates that</w:t>
      </w:r>
      <w:r w:rsidR="0056395D">
        <w:t xml:space="preserve"> the</w:t>
      </w:r>
      <w:r w:rsidR="0056395D" w:rsidRPr="00074782">
        <w:t xml:space="preserve"> forecast skill of the synoptic-scale flow over the Arctic becomes increasingly anomalously low and high relative to climatology throughout most of day 0</w:t>
      </w:r>
      <w:r w:rsidR="0056395D">
        <w:t>–5.5</w:t>
      </w:r>
      <w:r w:rsidR="0056395D" w:rsidRPr="00074782">
        <w:t xml:space="preserve"> for low-skill forecasts and high-skill forecasts, respectively.</w:t>
      </w:r>
    </w:p>
    <w:p w14:paraId="2EB7505C" w14:textId="38BD822C" w:rsidR="00714C12" w:rsidRDefault="00475AE0" w:rsidP="00816E83">
      <w:pPr>
        <w:pStyle w:val="ParagraphText"/>
        <w:ind w:firstLine="0"/>
        <w:jc w:val="center"/>
      </w:pPr>
      <w:r>
        <w:rPr>
          <w:noProof/>
        </w:rPr>
        <w:lastRenderedPageBreak/>
        <w:drawing>
          <wp:inline distT="0" distB="0" distL="0" distR="0" wp14:anchorId="3B5640CF" wp14:editId="2FBD9F39">
            <wp:extent cx="4498229" cy="6602819"/>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a:stretch>
                      <a:fillRect/>
                    </a:stretch>
                  </pic:blipFill>
                  <pic:spPr>
                    <a:xfrm>
                      <a:off x="0" y="0"/>
                      <a:ext cx="4516233" cy="6629247"/>
                    </a:xfrm>
                    <a:prstGeom prst="rect">
                      <a:avLst/>
                    </a:prstGeom>
                  </pic:spPr>
                </pic:pic>
              </a:graphicData>
            </a:graphic>
          </wp:inline>
        </w:drawing>
      </w:r>
    </w:p>
    <w:p w14:paraId="11384AE3" w14:textId="02ED6C91" w:rsidR="00714C12" w:rsidRPr="00714C12" w:rsidRDefault="00714C12" w:rsidP="00714C12">
      <w:pPr>
        <w:tabs>
          <w:tab w:val="left" w:pos="1993"/>
        </w:tabs>
        <w:spacing w:before="0" w:after="0" w:line="240" w:lineRule="auto"/>
        <w:ind w:firstLine="0"/>
      </w:pPr>
      <w:r w:rsidRPr="00714C12">
        <w:t xml:space="preserve">Fig. </w:t>
      </w:r>
      <w:r w:rsidR="004F5FB4">
        <w:t>3</w:t>
      </w:r>
      <w:r w:rsidRPr="00714C12">
        <w:t>. Mean values of (a) area-averaged RMSE of 500-hPa geopotential height over the Arctic (m) and (b) σ</w:t>
      </w:r>
      <w:r w:rsidRPr="00714C12">
        <w:rPr>
          <w:vertAlign w:val="subscript"/>
        </w:rPr>
        <w:t>RMSE</w:t>
      </w:r>
      <w:r w:rsidRPr="00714C12">
        <w:t xml:space="preserve"> of 500-hPa geopotential height over the Arctic (σ), as defined in section 2a, for low-skill forecasts (red line), high-skill forecasts (blue line), and all forecasts during the 2007–2017 climatological period (black line) at days 0–5.5, every 0.5 days. Shading in (a) and (b) indicates the interquartile range (IQR) (25th–75th percentile values) of the respective quantities for low-skill forecasts (red) and high-skill forecasts (blue). Dots in (a) and (b) indicate statistical significance at the 95% confidence level of the mean values of the respective quantities for low-skill forecasts (red) and high-skill forecasts (blue) with respect to a climatology of the respective quantities that is composed of the values of the respective quantities for all forecasts during the 2007–2017 climatological period.</w:t>
      </w:r>
    </w:p>
    <w:p w14:paraId="2198E3EA" w14:textId="77777777" w:rsidR="00007712" w:rsidRDefault="00007712" w:rsidP="00714C12">
      <w:pPr>
        <w:pStyle w:val="ParagraphText"/>
        <w:ind w:firstLine="0"/>
      </w:pPr>
    </w:p>
    <w:p w14:paraId="4E99EA00" w14:textId="13682805" w:rsidR="00D50DB4" w:rsidRDefault="004C6A78" w:rsidP="004545E4">
      <w:pPr>
        <w:pStyle w:val="ParagraphText"/>
      </w:pPr>
      <w:r w:rsidRPr="00074782">
        <w:lastRenderedPageBreak/>
        <w:t xml:space="preserve">Quantities characterizing the Arctic environment, as </w:t>
      </w:r>
      <w:r>
        <w:t>introduced in section 2c</w:t>
      </w:r>
      <w:r w:rsidRPr="00074782">
        <w:t>, are now examined at day 0–5.5, every 0.5 days, for the 101 low-skill forecasts and 101 high-skill forecasts</w:t>
      </w:r>
      <w:r w:rsidR="00CC57ED">
        <w:t xml:space="preserve"> i</w:t>
      </w:r>
      <w:r w:rsidR="009042ED">
        <w:t xml:space="preserve">n Figs. </w:t>
      </w:r>
      <w:r w:rsidR="00520294">
        <w:t>4</w:t>
      </w:r>
      <w:r w:rsidR="00CC57ED">
        <w:t xml:space="preserve"> and </w:t>
      </w:r>
      <w:r w:rsidR="00520294">
        <w:t>5</w:t>
      </w:r>
      <w:r w:rsidRPr="00074782">
        <w:t xml:space="preserve">. </w:t>
      </w:r>
      <w:r w:rsidR="00DA4211" w:rsidRPr="00DA4211">
        <w:t>Day 0–5.5 for low-skill forecasts and high-skill forecasts correspond to low-skill periods and high-skill periods, respectively, with the exception of overlapping days that were removed from these respective periods, as discussed in section 2a. The time</w:t>
      </w:r>
      <w:r w:rsidR="00E55B27">
        <w:t xml:space="preserve"> </w:t>
      </w:r>
      <w:r w:rsidR="00DA4211" w:rsidRPr="00DA4211">
        <w:t xml:space="preserve">series shown </w:t>
      </w:r>
      <w:r w:rsidR="00DA4211">
        <w:t xml:space="preserve">in Figs. </w:t>
      </w:r>
      <w:r w:rsidR="00520294">
        <w:t>4</w:t>
      </w:r>
      <w:r w:rsidR="00DA4211">
        <w:t xml:space="preserve"> and </w:t>
      </w:r>
      <w:r w:rsidR="00520294">
        <w:t>5</w:t>
      </w:r>
      <w:r w:rsidR="00DA4211" w:rsidRPr="00DA4211">
        <w:t xml:space="preserve"> for low-skill forecasts and high-skill forecasts are constructed by considering all values of the quantities corresponding to day 0–5.5, every 0.5 days, with the exception of values of the quantities corresponding to overlapping days that were removed from low-skill periods and high-skill periods, respectively.</w:t>
      </w:r>
      <w:r w:rsidR="00DA4211">
        <w:t xml:space="preserve"> </w:t>
      </w:r>
      <w:r w:rsidR="004545E4">
        <w:t>There</w:t>
      </w:r>
      <w:r w:rsidR="004545E4" w:rsidRPr="00074782">
        <w:t xml:space="preserve"> tends to be anomalously strong </w:t>
      </w:r>
      <w:r w:rsidR="004545E4">
        <w:t xml:space="preserve">upper-tropospheric flow (Fig. </w:t>
      </w:r>
      <w:r w:rsidR="00520294">
        <w:t>4</w:t>
      </w:r>
      <w:r w:rsidR="004545E4">
        <w:t>a</w:t>
      </w:r>
      <w:r w:rsidR="004545E4" w:rsidRPr="00074782">
        <w:t xml:space="preserve">), </w:t>
      </w:r>
      <w:r w:rsidR="004545E4">
        <w:t>anomalous</w:t>
      </w:r>
      <w:r w:rsidR="00B61E5D">
        <w:t>ly</w:t>
      </w:r>
      <w:r w:rsidR="004545E4">
        <w:t xml:space="preserve"> strong lower-tropospheric flow (Fig. </w:t>
      </w:r>
      <w:r w:rsidR="00520294">
        <w:t>4</w:t>
      </w:r>
      <w:r w:rsidR="004545E4">
        <w:t xml:space="preserve">b), </w:t>
      </w:r>
      <w:r w:rsidR="004545E4" w:rsidRPr="00074782">
        <w:t xml:space="preserve">anomalously </w:t>
      </w:r>
      <w:r w:rsidR="000F362D">
        <w:t>strong</w:t>
      </w:r>
      <w:r w:rsidR="004545E4" w:rsidRPr="00074782">
        <w:t xml:space="preserve"> lower-tro</w:t>
      </w:r>
      <w:r w:rsidR="004545E4">
        <w:t xml:space="preserve">pospheric baroclinicity (Fig. </w:t>
      </w:r>
      <w:r w:rsidR="00520294">
        <w:t>4</w:t>
      </w:r>
      <w:r w:rsidR="004545E4" w:rsidRPr="00074782">
        <w:t>c), and anomalously large lower-to-</w:t>
      </w:r>
      <w:proofErr w:type="spellStart"/>
      <w:r w:rsidR="004545E4" w:rsidRPr="00074782">
        <w:t>midtropospheric</w:t>
      </w:r>
      <w:proofErr w:type="spellEnd"/>
      <w:r w:rsidR="004545E4" w:rsidRPr="00074782">
        <w:t xml:space="preserve"> </w:t>
      </w:r>
      <w:r w:rsidR="004545E4">
        <w:t xml:space="preserve">EGR (Fig. </w:t>
      </w:r>
      <w:r w:rsidR="00520294">
        <w:t>4</w:t>
      </w:r>
      <w:r w:rsidR="004545E4" w:rsidRPr="00074782">
        <w:t>d) over the Arctic relative to climatology throughout low-skill periods.</w:t>
      </w:r>
      <w:r w:rsidR="00D55117">
        <w:t xml:space="preserve"> Conversely, t</w:t>
      </w:r>
      <w:r w:rsidR="004545E4" w:rsidRPr="008C3649">
        <w:t>here tends to be anomalously weak u</w:t>
      </w:r>
      <w:r w:rsidR="004545E4">
        <w:t xml:space="preserve">pper-tropospheric flow (Fig. </w:t>
      </w:r>
      <w:r w:rsidR="00520294">
        <w:t>4</w:t>
      </w:r>
      <w:r w:rsidR="004545E4">
        <w:t xml:space="preserve">a), anomalously weak lower-tropospheric flow (Fig. </w:t>
      </w:r>
      <w:r w:rsidR="00520294">
        <w:t>4</w:t>
      </w:r>
      <w:r w:rsidR="004545E4" w:rsidRPr="008C3649">
        <w:t xml:space="preserve">b), anomalously </w:t>
      </w:r>
      <w:r w:rsidR="000F362D">
        <w:t>weak</w:t>
      </w:r>
      <w:r w:rsidR="004545E4" w:rsidRPr="008C3649">
        <w:t xml:space="preserve"> lower-trop</w:t>
      </w:r>
      <w:r w:rsidR="004545E4">
        <w:t xml:space="preserve">ospheric baroclinicity (Fig. </w:t>
      </w:r>
      <w:r w:rsidR="00520294">
        <w:t>4</w:t>
      </w:r>
      <w:r w:rsidR="004545E4" w:rsidRPr="008C3649">
        <w:t>c), and anomalously small lower-to-</w:t>
      </w:r>
      <w:proofErr w:type="spellStart"/>
      <w:r w:rsidR="004545E4" w:rsidRPr="008C3649">
        <w:t>midtropospheric</w:t>
      </w:r>
      <w:proofErr w:type="spellEnd"/>
      <w:r w:rsidR="004545E4" w:rsidRPr="008C3649">
        <w:t xml:space="preserve"> </w:t>
      </w:r>
      <w:r w:rsidR="004545E4">
        <w:t xml:space="preserve">EGR (Fig. </w:t>
      </w:r>
      <w:r w:rsidR="00520294">
        <w:t>4</w:t>
      </w:r>
      <w:r w:rsidR="004545E4" w:rsidRPr="008C3649">
        <w:t>d) over the Arctic relative to climatology throughout high-skill periods.</w:t>
      </w:r>
      <w:r w:rsidR="004545E4">
        <w:t xml:space="preserve"> </w:t>
      </w:r>
    </w:p>
    <w:p w14:paraId="0EE4FCE5" w14:textId="77777777" w:rsidR="00714C12" w:rsidRDefault="00714C12" w:rsidP="004545E4">
      <w:pPr>
        <w:pStyle w:val="ParagraphText"/>
      </w:pPr>
    </w:p>
    <w:p w14:paraId="6B2DCE89" w14:textId="2BE6DD6F" w:rsidR="00714C12" w:rsidRDefault="00475AE0" w:rsidP="0093507C">
      <w:pPr>
        <w:pStyle w:val="ParagraphText"/>
        <w:ind w:firstLine="0"/>
        <w:jc w:val="center"/>
      </w:pPr>
      <w:r>
        <w:rPr>
          <w:noProof/>
        </w:rPr>
        <w:lastRenderedPageBreak/>
        <w:drawing>
          <wp:inline distT="0" distB="0" distL="0" distR="0" wp14:anchorId="2E6D2E4F" wp14:editId="342EDE9A">
            <wp:extent cx="5731510" cy="45904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a:stretch>
                      <a:fillRect/>
                    </a:stretch>
                  </pic:blipFill>
                  <pic:spPr>
                    <a:xfrm>
                      <a:off x="0" y="0"/>
                      <a:ext cx="5731510" cy="4590415"/>
                    </a:xfrm>
                    <a:prstGeom prst="rect">
                      <a:avLst/>
                    </a:prstGeom>
                  </pic:spPr>
                </pic:pic>
              </a:graphicData>
            </a:graphic>
          </wp:inline>
        </w:drawing>
      </w:r>
    </w:p>
    <w:p w14:paraId="5390C7F0" w14:textId="058FB49B" w:rsidR="005C5F0A" w:rsidRPr="005C5F0A" w:rsidRDefault="005C5F0A" w:rsidP="005C5F0A">
      <w:pPr>
        <w:tabs>
          <w:tab w:val="left" w:pos="1993"/>
        </w:tabs>
        <w:spacing w:before="0" w:after="0" w:line="240" w:lineRule="auto"/>
        <w:ind w:firstLine="0"/>
      </w:pPr>
      <w:r w:rsidRPr="005C5F0A">
        <w:t xml:space="preserve">Fig. </w:t>
      </w:r>
      <w:r w:rsidR="004F5FB4">
        <w:t>4</w:t>
      </w:r>
      <w:r w:rsidRPr="005C5F0A">
        <w:t xml:space="preserve">. </w:t>
      </w:r>
      <w:r w:rsidR="00376AD8">
        <w:t>Time</w:t>
      </w:r>
      <w:r w:rsidR="00E55B27">
        <w:t xml:space="preserve"> </w:t>
      </w:r>
      <w:r w:rsidR="00376AD8">
        <w:t>series</w:t>
      </w:r>
      <w:r w:rsidR="00376AD8" w:rsidRPr="005C5F0A">
        <w:t xml:space="preserve"> </w:t>
      </w:r>
      <w:r w:rsidRPr="005C5F0A">
        <w:t>of (a) area-averaged 300-hPa wind speed (m s</w:t>
      </w:r>
      <w:r w:rsidRPr="005C5F0A">
        <w:rPr>
          <w:vertAlign w:val="superscript"/>
        </w:rPr>
        <w:t>−1</w:t>
      </w:r>
      <w:r w:rsidRPr="005C5F0A">
        <w:t>), (b) area-averaged 850-hPa wind speed (m s</w:t>
      </w:r>
      <w:r w:rsidRPr="005C5F0A">
        <w:rPr>
          <w:vertAlign w:val="superscript"/>
        </w:rPr>
        <w:t>−1</w:t>
      </w:r>
      <w:r w:rsidRPr="005C5F0A">
        <w:t xml:space="preserve">), (c) area-averaged 850-hPa </w:t>
      </w:r>
      <w:r w:rsidRPr="005C5F0A">
        <w:rPr>
          <w:i/>
        </w:rPr>
        <w:t>θ</w:t>
      </w:r>
      <w:r w:rsidRPr="005C5F0A">
        <w:t xml:space="preserve"> gradient magnitude [K (100 km)</w:t>
      </w:r>
      <w:r w:rsidRPr="005C5F0A">
        <w:rPr>
          <w:vertAlign w:val="superscript"/>
        </w:rPr>
        <w:t>−1</w:t>
      </w:r>
      <w:r w:rsidRPr="005C5F0A">
        <w:t>], and (d) area-averaged 850–600-hPa EGR (day</w:t>
      </w:r>
      <w:r w:rsidRPr="005C5F0A">
        <w:rPr>
          <w:vertAlign w:val="superscript"/>
        </w:rPr>
        <w:t>−1</w:t>
      </w:r>
      <w:r w:rsidRPr="005C5F0A">
        <w:t xml:space="preserve">) over the Arctic at days 0–5.5, every 0.5 days, for low-skill forecasts (red) and high-skill forecasts (blue), with solid lines indicating the mean values and shading indicating the IQR. Black lines indicate the mean values of the quantities across all times during the 2007–2017 climatological period. Dots indicate statistical significance at the 95% confidence level of the mean values of the quantities for low-skill forecasts (red) and high-skill forecasts (blue) with respect to a climatology of the quantities that is composed of the values of the quantities for all times during the 2007–2017 climatological period. </w:t>
      </w:r>
    </w:p>
    <w:p w14:paraId="40F25D02" w14:textId="77777777" w:rsidR="00714C12" w:rsidRDefault="00714C12" w:rsidP="005C5F0A">
      <w:pPr>
        <w:pStyle w:val="ParagraphText"/>
        <w:ind w:firstLine="0"/>
      </w:pPr>
    </w:p>
    <w:p w14:paraId="5A9C7D01" w14:textId="4CB49F06" w:rsidR="005C5F0A" w:rsidRDefault="004545E4" w:rsidP="00EE6E83">
      <w:pPr>
        <w:pStyle w:val="ParagraphText"/>
      </w:pPr>
      <w:r>
        <w:rPr>
          <w:szCs w:val="24"/>
        </w:rPr>
        <w:t>T</w:t>
      </w:r>
      <w:r w:rsidRPr="004545E4">
        <w:rPr>
          <w:szCs w:val="24"/>
        </w:rPr>
        <w:t xml:space="preserve">here tends to be anomalously strong upper-tropospheric divergence (Fig. </w:t>
      </w:r>
      <w:r w:rsidR="00520294">
        <w:rPr>
          <w:szCs w:val="24"/>
        </w:rPr>
        <w:t>5</w:t>
      </w:r>
      <w:r w:rsidRPr="004545E4">
        <w:rPr>
          <w:szCs w:val="24"/>
        </w:rPr>
        <w:t>a), anomalously strong lower-to-</w:t>
      </w:r>
      <w:proofErr w:type="spellStart"/>
      <w:r w:rsidRPr="004545E4">
        <w:rPr>
          <w:szCs w:val="24"/>
        </w:rPr>
        <w:t>midtropospheric</w:t>
      </w:r>
      <w:proofErr w:type="spellEnd"/>
      <w:r w:rsidRPr="004545E4">
        <w:rPr>
          <w:szCs w:val="24"/>
        </w:rPr>
        <w:t xml:space="preserve"> ascent (Fig. </w:t>
      </w:r>
      <w:r w:rsidR="00520294">
        <w:rPr>
          <w:szCs w:val="24"/>
        </w:rPr>
        <w:t>5</w:t>
      </w:r>
      <w:r w:rsidRPr="004545E4">
        <w:rPr>
          <w:szCs w:val="24"/>
        </w:rPr>
        <w:t xml:space="preserve">b), anomalously strong moisture transport (Fig. </w:t>
      </w:r>
      <w:r w:rsidR="00520294">
        <w:rPr>
          <w:szCs w:val="24"/>
        </w:rPr>
        <w:t>5</w:t>
      </w:r>
      <w:r w:rsidRPr="004545E4">
        <w:rPr>
          <w:szCs w:val="24"/>
        </w:rPr>
        <w:t xml:space="preserve">c), and anomalously large latent heating (Fig. </w:t>
      </w:r>
      <w:r w:rsidR="00520294">
        <w:rPr>
          <w:szCs w:val="24"/>
        </w:rPr>
        <w:t>5</w:t>
      </w:r>
      <w:r w:rsidRPr="004545E4">
        <w:rPr>
          <w:szCs w:val="24"/>
        </w:rPr>
        <w:t>d) over the Arctic relative to climatology throughout low-skill periods.</w:t>
      </w:r>
      <w:r w:rsidRPr="004545E4">
        <w:t xml:space="preserve"> </w:t>
      </w:r>
      <w:r w:rsidR="00D55117">
        <w:t>Conversely, t</w:t>
      </w:r>
      <w:r w:rsidRPr="00074782">
        <w:t>here tends to be anomalously weak upper-</w:t>
      </w:r>
      <w:r>
        <w:t xml:space="preserve">tropospheric divergence (Fig. </w:t>
      </w:r>
      <w:r w:rsidR="00520294">
        <w:t>5</w:t>
      </w:r>
      <w:r w:rsidRPr="00074782">
        <w:t>a), anomalously weak lower-to</w:t>
      </w:r>
      <w:r>
        <w:t>-</w:t>
      </w:r>
      <w:proofErr w:type="spellStart"/>
      <w:r>
        <w:t>midtropospheric</w:t>
      </w:r>
      <w:proofErr w:type="spellEnd"/>
      <w:r>
        <w:t xml:space="preserve"> ascent (Fig. </w:t>
      </w:r>
      <w:r w:rsidR="00520294">
        <w:t>5</w:t>
      </w:r>
      <w:r w:rsidRPr="00074782">
        <w:t xml:space="preserve">b), anomalously </w:t>
      </w:r>
      <w:r>
        <w:t xml:space="preserve">weak moisture transport (Fig. </w:t>
      </w:r>
      <w:r w:rsidR="00520294">
        <w:t>5</w:t>
      </w:r>
      <w:r w:rsidRPr="00074782">
        <w:t>c), and anomalously small latent heatin</w:t>
      </w:r>
      <w:r>
        <w:t xml:space="preserve">g (Fig. </w:t>
      </w:r>
      <w:r w:rsidR="00520294">
        <w:t>5</w:t>
      </w:r>
      <w:r w:rsidRPr="00074782">
        <w:t>d) over the Arctic relative to climatology throughout high-skill periods.</w:t>
      </w:r>
    </w:p>
    <w:p w14:paraId="32110866" w14:textId="48458604" w:rsidR="005C5F0A" w:rsidRDefault="00475AE0" w:rsidP="0093507C">
      <w:pPr>
        <w:pStyle w:val="ParagraphText"/>
        <w:ind w:firstLine="0"/>
        <w:jc w:val="center"/>
      </w:pPr>
      <w:r>
        <w:rPr>
          <w:noProof/>
        </w:rPr>
        <w:lastRenderedPageBreak/>
        <w:drawing>
          <wp:inline distT="0" distB="0" distL="0" distR="0" wp14:anchorId="5717DAEB" wp14:editId="09DCD31A">
            <wp:extent cx="5731510" cy="459041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2"/>
                    <a:stretch>
                      <a:fillRect/>
                    </a:stretch>
                  </pic:blipFill>
                  <pic:spPr>
                    <a:xfrm>
                      <a:off x="0" y="0"/>
                      <a:ext cx="5731510" cy="4590415"/>
                    </a:xfrm>
                    <a:prstGeom prst="rect">
                      <a:avLst/>
                    </a:prstGeom>
                  </pic:spPr>
                </pic:pic>
              </a:graphicData>
            </a:graphic>
          </wp:inline>
        </w:drawing>
      </w:r>
    </w:p>
    <w:p w14:paraId="1C20F36F" w14:textId="4F0B234D" w:rsidR="0093507C" w:rsidRPr="0093507C" w:rsidRDefault="0093507C" w:rsidP="0093507C">
      <w:pPr>
        <w:tabs>
          <w:tab w:val="left" w:pos="1993"/>
        </w:tabs>
        <w:snapToGrid/>
        <w:spacing w:before="0" w:after="0" w:line="240" w:lineRule="auto"/>
        <w:ind w:firstLine="0"/>
        <w:rPr>
          <w:rFonts w:eastAsia="MS Mincho"/>
          <w:szCs w:val="24"/>
        </w:rPr>
      </w:pPr>
      <w:r w:rsidRPr="0093507C">
        <w:rPr>
          <w:rFonts w:eastAsia="MS Mincho"/>
          <w:szCs w:val="24"/>
        </w:rPr>
        <w:t xml:space="preserve">Fig. </w:t>
      </w:r>
      <w:r w:rsidR="004F5FB4">
        <w:rPr>
          <w:rFonts w:eastAsia="MS Mincho"/>
          <w:szCs w:val="24"/>
        </w:rPr>
        <w:t>5</w:t>
      </w:r>
      <w:r w:rsidRPr="0093507C">
        <w:rPr>
          <w:rFonts w:eastAsia="MS Mincho"/>
          <w:szCs w:val="24"/>
        </w:rPr>
        <w:t xml:space="preserve">. As in Fig. </w:t>
      </w:r>
      <w:r w:rsidR="004F5FB4">
        <w:rPr>
          <w:rFonts w:eastAsia="MS Mincho"/>
          <w:szCs w:val="24"/>
        </w:rPr>
        <w:t>4</w:t>
      </w:r>
      <w:r w:rsidRPr="0093507C">
        <w:rPr>
          <w:rFonts w:eastAsia="MS Mincho"/>
          <w:szCs w:val="24"/>
        </w:rPr>
        <w:t>, but for (a) area-averaged positive values of 350–250-hPa divergence</w:t>
      </w:r>
      <w:r w:rsidR="00CE4125">
        <w:rPr>
          <w:rFonts w:eastAsia="MS Mincho"/>
          <w:szCs w:val="24"/>
        </w:rPr>
        <w:t xml:space="preserve"> </w:t>
      </w:r>
      <w:r w:rsidRPr="0093507C">
        <w:rPr>
          <w:rFonts w:eastAsia="MS Mincho"/>
          <w:szCs w:val="24"/>
        </w:rPr>
        <w:t>(10</w:t>
      </w:r>
      <w:r w:rsidRPr="0093507C">
        <w:rPr>
          <w:rFonts w:eastAsia="MS Mincho"/>
          <w:szCs w:val="24"/>
          <w:vertAlign w:val="superscript"/>
        </w:rPr>
        <w:t>−6</w:t>
      </w:r>
      <w:r w:rsidRPr="0093507C">
        <w:rPr>
          <w:rFonts w:eastAsia="MS Mincho"/>
          <w:szCs w:val="24"/>
        </w:rPr>
        <w:t xml:space="preserve"> s</w:t>
      </w:r>
      <w:r w:rsidRPr="0093507C">
        <w:rPr>
          <w:rFonts w:eastAsia="MS Mincho"/>
          <w:szCs w:val="24"/>
          <w:vertAlign w:val="superscript"/>
        </w:rPr>
        <w:t>−1</w:t>
      </w:r>
      <w:r w:rsidRPr="0093507C">
        <w:rPr>
          <w:rFonts w:eastAsia="MS Mincho"/>
          <w:szCs w:val="24"/>
        </w:rPr>
        <w:t xml:space="preserve">), (b) area-averaged negative values of 800–600-hPa </w:t>
      </w:r>
      <w:r w:rsidRPr="0093507C">
        <w:rPr>
          <w:rFonts w:eastAsia="MS Mincho"/>
          <w:i/>
          <w:szCs w:val="24"/>
        </w:rPr>
        <w:t>ω</w:t>
      </w:r>
      <w:r w:rsidRPr="0093507C">
        <w:rPr>
          <w:rFonts w:eastAsia="MS Mincho"/>
          <w:szCs w:val="24"/>
        </w:rPr>
        <w:t xml:space="preserve"> (10</w:t>
      </w:r>
      <w:r w:rsidRPr="0093507C">
        <w:rPr>
          <w:rFonts w:eastAsia="MS Mincho"/>
          <w:szCs w:val="24"/>
          <w:vertAlign w:val="superscript"/>
        </w:rPr>
        <w:t>−3</w:t>
      </w:r>
      <w:r w:rsidRPr="0093507C">
        <w:rPr>
          <w:rFonts w:eastAsia="MS Mincho"/>
          <w:szCs w:val="24"/>
        </w:rPr>
        <w:t xml:space="preserve"> </w:t>
      </w:r>
      <w:proofErr w:type="spellStart"/>
      <w:r w:rsidRPr="0093507C">
        <w:rPr>
          <w:rFonts w:eastAsia="MS Mincho"/>
          <w:szCs w:val="24"/>
        </w:rPr>
        <w:t>hPa</w:t>
      </w:r>
      <w:proofErr w:type="spellEnd"/>
      <w:r w:rsidRPr="0093507C">
        <w:rPr>
          <w:rFonts w:eastAsia="MS Mincho"/>
          <w:szCs w:val="24"/>
        </w:rPr>
        <w:t xml:space="preserve"> s</w:t>
      </w:r>
      <w:r w:rsidRPr="0093507C">
        <w:rPr>
          <w:rFonts w:eastAsia="MS Mincho"/>
          <w:szCs w:val="24"/>
          <w:vertAlign w:val="superscript"/>
        </w:rPr>
        <w:t>−1</w:t>
      </w:r>
      <w:r w:rsidRPr="0093507C">
        <w:rPr>
          <w:rFonts w:eastAsia="MS Mincho"/>
          <w:szCs w:val="24"/>
        </w:rPr>
        <w:t>), (c) area-averaged 1000–300-hPa IVT (kg m</w:t>
      </w:r>
      <w:r w:rsidRPr="0093507C">
        <w:rPr>
          <w:rFonts w:eastAsia="MS Mincho"/>
          <w:szCs w:val="24"/>
          <w:vertAlign w:val="superscript"/>
        </w:rPr>
        <w:t>−1</w:t>
      </w:r>
      <w:r w:rsidRPr="0093507C">
        <w:rPr>
          <w:rFonts w:eastAsia="MS Mincho"/>
          <w:szCs w:val="24"/>
        </w:rPr>
        <w:t xml:space="preserve"> s</w:t>
      </w:r>
      <w:r w:rsidRPr="0093507C">
        <w:rPr>
          <w:rFonts w:eastAsia="MS Mincho"/>
          <w:szCs w:val="24"/>
          <w:vertAlign w:val="superscript"/>
        </w:rPr>
        <w:t>−1</w:t>
      </w:r>
      <w:r w:rsidRPr="0093507C">
        <w:rPr>
          <w:rFonts w:eastAsia="MS Mincho"/>
          <w:szCs w:val="24"/>
        </w:rPr>
        <w:t>), and (d) area-averaged positive values of 1000–300-hPa IMFC (W m</w:t>
      </w:r>
      <w:r w:rsidRPr="0093507C">
        <w:rPr>
          <w:rFonts w:eastAsia="MS Mincho"/>
          <w:szCs w:val="24"/>
          <w:vertAlign w:val="superscript"/>
        </w:rPr>
        <w:t>−2</w:t>
      </w:r>
      <w:r w:rsidRPr="0093507C">
        <w:rPr>
          <w:rFonts w:eastAsia="MS Mincho"/>
          <w:szCs w:val="24"/>
        </w:rPr>
        <w:t xml:space="preserve">) over the Arctic. </w:t>
      </w:r>
    </w:p>
    <w:p w14:paraId="7CB29263" w14:textId="77777777" w:rsidR="0093507C" w:rsidRDefault="0093507C" w:rsidP="00816E83">
      <w:pPr>
        <w:pStyle w:val="ParagraphText"/>
        <w:ind w:firstLine="0"/>
      </w:pPr>
    </w:p>
    <w:p w14:paraId="2CD6C433" w14:textId="01068E94" w:rsidR="00044F02" w:rsidRDefault="00B1179A" w:rsidP="00B36F8E">
      <w:pPr>
        <w:pStyle w:val="ParagraphText"/>
      </w:pPr>
      <w:r>
        <w:t>Fig</w:t>
      </w:r>
      <w:r w:rsidR="004A42B2">
        <w:t>ures</w:t>
      </w:r>
      <w:r w:rsidR="004545E4">
        <w:t xml:space="preserve"> </w:t>
      </w:r>
      <w:r w:rsidR="00520294">
        <w:t>4</w:t>
      </w:r>
      <w:r w:rsidR="004545E4">
        <w:t xml:space="preserve"> and </w:t>
      </w:r>
      <w:r w:rsidR="00520294">
        <w:t>5</w:t>
      </w:r>
      <w:r w:rsidR="00B17935">
        <w:t xml:space="preserve"> indicate</w:t>
      </w:r>
      <w:r w:rsidR="00A1043A">
        <w:t xml:space="preserve"> </w:t>
      </w:r>
      <w:r w:rsidR="00952C49">
        <w:t xml:space="preserve">that there is a </w:t>
      </w:r>
      <w:r w:rsidR="00BC55C9">
        <w:t xml:space="preserve">statistically significant </w:t>
      </w:r>
      <w:r w:rsidR="00952C49">
        <w:t>tendency for</w:t>
      </w:r>
      <w:r w:rsidR="004545E4">
        <w:t xml:space="preserve"> more vigorous baroclinic processes and latent heating over the Arctic during low-skill periods compared to high-skill periods. Since baroclinic processes</w:t>
      </w:r>
      <w:r w:rsidR="002953A5">
        <w:t xml:space="preserve"> </w:t>
      </w:r>
      <w:r w:rsidR="00073428">
        <w:t>and latent heating may</w:t>
      </w:r>
      <w:r w:rsidR="004545E4">
        <w:t xml:space="preserve"> support AC development and intensification, th</w:t>
      </w:r>
      <w:r w:rsidR="00BC55C9">
        <w:t>e statistically significant</w:t>
      </w:r>
      <w:r w:rsidR="004545E4">
        <w:t xml:space="preserve"> </w:t>
      </w:r>
      <w:r w:rsidR="00A967D2">
        <w:t xml:space="preserve">tendency for </w:t>
      </w:r>
      <w:r w:rsidR="004545E4">
        <w:t>more vigorous baroclinic processes and latent heating over the Arctic during low</w:t>
      </w:r>
      <w:r w:rsidR="000D631F">
        <w:t>-skill periods compared to high-</w:t>
      </w:r>
      <w:r w:rsidR="004545E4">
        <w:t>skill periods suggest</w:t>
      </w:r>
      <w:r w:rsidR="00952485">
        <w:t>s</w:t>
      </w:r>
      <w:r w:rsidR="004545E4">
        <w:t xml:space="preserve"> that </w:t>
      </w:r>
      <w:r w:rsidR="00A967D2">
        <w:t xml:space="preserve">there is a tendency for </w:t>
      </w:r>
      <w:r w:rsidR="004545E4" w:rsidRPr="00074782">
        <w:t xml:space="preserve">Arctic environmental conditions </w:t>
      </w:r>
      <w:r w:rsidR="00952C49">
        <w:t xml:space="preserve">to be </w:t>
      </w:r>
      <w:r w:rsidR="004545E4" w:rsidRPr="00074782">
        <w:t>more conducive to AC development and intensification during low-skill periods compar</w:t>
      </w:r>
      <w:r w:rsidR="004545E4">
        <w:t>ed to high-skill periods.</w:t>
      </w:r>
      <w:r w:rsidR="004545E4" w:rsidRPr="004545E4">
        <w:t xml:space="preserve"> </w:t>
      </w:r>
      <w:r w:rsidR="00610295" w:rsidRPr="00610295">
        <w:t>Arctic environmental condit</w:t>
      </w:r>
      <w:r w:rsidR="00610295">
        <w:t>ions that are more conducive to</w:t>
      </w:r>
      <w:r w:rsidR="00610295" w:rsidRPr="00610295">
        <w:t xml:space="preserve"> AC development and intensification during low-skill periods compared to high-skill periods may be expected to correspond to more frequent occurrences of ACs and stronger ACs during low-skill periods compared to high-skill periods.</w:t>
      </w:r>
    </w:p>
    <w:p w14:paraId="27857756" w14:textId="1BD366DB" w:rsidR="00170A72" w:rsidRPr="00883784" w:rsidRDefault="00610295" w:rsidP="00883784">
      <w:pPr>
        <w:pStyle w:val="ParagraphText"/>
      </w:pPr>
      <w:r>
        <w:lastRenderedPageBreak/>
        <w:t>As</w:t>
      </w:r>
      <w:r w:rsidR="005D31FA">
        <w:t xml:space="preserve"> discussed in section 1, f</w:t>
      </w:r>
      <w:r w:rsidR="005D31FA" w:rsidRPr="0012579E">
        <w:t xml:space="preserve">orecast errors related to baroclinic processes </w:t>
      </w:r>
      <w:r w:rsidR="005D31FA">
        <w:t>and latent heating have been shown to</w:t>
      </w:r>
      <w:r w:rsidR="005D31FA" w:rsidRPr="0012579E">
        <w:t xml:space="preserve"> contribute to forecast errors in the synoptic-scale flow</w:t>
      </w:r>
      <w:r w:rsidR="005D31FA">
        <w:t xml:space="preserve"> over middle latitudes. It </w:t>
      </w:r>
      <w:r w:rsidR="004545E4">
        <w:t xml:space="preserve">is expected </w:t>
      </w:r>
      <w:r w:rsidR="004545E4" w:rsidRPr="004545E4">
        <w:t>that the more vigorous baroclinic processes and latent heating over the Arctic during low-skill periods compared to high-skill periods may be associated with greater forecast errors that may help explain the lower forecast skill of the synoptic-scale flow over the Arctic during low-skill periods compared to high-skill periods.</w:t>
      </w:r>
      <w:r w:rsidR="00F95FE1" w:rsidRPr="00F95FE1">
        <w:t xml:space="preserve"> </w:t>
      </w:r>
      <w:r w:rsidR="00715E13">
        <w:t>R</w:t>
      </w:r>
      <w:r w:rsidR="00F95FE1" w:rsidRPr="00F95FE1">
        <w:t xml:space="preserve">elatively </w:t>
      </w:r>
      <w:r w:rsidR="00715E13">
        <w:t>large</w:t>
      </w:r>
      <w:r w:rsidR="00F95FE1">
        <w:t xml:space="preserve"> </w:t>
      </w:r>
      <w:r w:rsidR="00F95FE1" w:rsidRPr="00F95FE1">
        <w:t>lower-to-</w:t>
      </w:r>
      <w:proofErr w:type="spellStart"/>
      <w:r w:rsidR="00F95FE1" w:rsidRPr="00F95FE1">
        <w:t>midtropospheric</w:t>
      </w:r>
      <w:proofErr w:type="spellEnd"/>
      <w:r w:rsidR="00F95FE1" w:rsidRPr="00F95FE1">
        <w:t xml:space="preserve"> EGR for low-skill periods during </w:t>
      </w:r>
      <w:r w:rsidR="00715E13">
        <w:t>days</w:t>
      </w:r>
      <w:r w:rsidR="00F95FE1" w:rsidRPr="00F95FE1">
        <w:t xml:space="preserve"> 1.5–3.5 </w:t>
      </w:r>
      <w:r w:rsidR="00F95FE1">
        <w:t xml:space="preserve">(Fig. </w:t>
      </w:r>
      <w:r w:rsidR="00520294">
        <w:t>4</w:t>
      </w:r>
      <w:r w:rsidR="00F95FE1">
        <w:t>d)</w:t>
      </w:r>
      <w:r w:rsidR="00F95FE1" w:rsidRPr="00F95FE1">
        <w:t xml:space="preserve"> and relatively </w:t>
      </w:r>
      <w:r w:rsidR="00715E13">
        <w:t>large</w:t>
      </w:r>
      <w:r w:rsidR="00F95FE1" w:rsidRPr="00F95FE1">
        <w:t xml:space="preserve"> latent heating</w:t>
      </w:r>
      <w:r w:rsidR="00F95FE1">
        <w:t xml:space="preserve"> for low-skill periods</w:t>
      </w:r>
      <w:r w:rsidR="00F95FE1" w:rsidRPr="00F95FE1">
        <w:t xml:space="preserve"> during </w:t>
      </w:r>
      <w:r w:rsidR="00715E13">
        <w:t>days</w:t>
      </w:r>
      <w:r w:rsidR="00F95FE1" w:rsidRPr="00F95FE1">
        <w:t xml:space="preserve"> 2.5–4.5</w:t>
      </w:r>
      <w:r w:rsidR="00715E13">
        <w:t xml:space="preserve"> </w:t>
      </w:r>
      <w:r w:rsidR="00F95FE1">
        <w:t xml:space="preserve">(Fig. </w:t>
      </w:r>
      <w:r w:rsidR="00520294">
        <w:t>5</w:t>
      </w:r>
      <w:r w:rsidR="00F95FE1">
        <w:t>d)</w:t>
      </w:r>
      <w:r w:rsidR="00F95FE1" w:rsidRPr="00F95FE1">
        <w:t xml:space="preserve"> may </w:t>
      </w:r>
      <w:r w:rsidR="00FC5E1F">
        <w:t>suggest</w:t>
      </w:r>
      <w:r w:rsidR="00715E13">
        <w:t xml:space="preserve"> </w:t>
      </w:r>
      <w:r w:rsidR="00F95FE1">
        <w:t>that there are relatively</w:t>
      </w:r>
      <w:r w:rsidR="00F95FE1" w:rsidRPr="00F95FE1">
        <w:t xml:space="preserve"> large forecast errors related</w:t>
      </w:r>
      <w:r w:rsidR="00715E13">
        <w:t xml:space="preserve"> to</w:t>
      </w:r>
      <w:r w:rsidR="00F95FE1" w:rsidRPr="00F95FE1">
        <w:t xml:space="preserve"> baroclinic processes and latent heating</w:t>
      </w:r>
      <w:r w:rsidR="00FC5E1F">
        <w:t xml:space="preserve"> </w:t>
      </w:r>
      <w:r w:rsidR="00F95FE1">
        <w:t>during these respective</w:t>
      </w:r>
      <w:r w:rsidR="00E52120">
        <w:t xml:space="preserve"> </w:t>
      </w:r>
      <w:r w:rsidR="00715E13">
        <w:t>times</w:t>
      </w:r>
      <w:r w:rsidR="00F95FE1">
        <w:t xml:space="preserve"> that contribute to low forecast skill of the synoptic-scale flow over the Arctic</w:t>
      </w:r>
      <w:r w:rsidR="009722B8">
        <w:t xml:space="preserve"> during low-skill periods.</w:t>
      </w:r>
    </w:p>
    <w:p w14:paraId="2B151FC6" w14:textId="7E605A54" w:rsidR="00F52648" w:rsidRPr="00B36F8E" w:rsidRDefault="00F52648" w:rsidP="00F52648">
      <w:pPr>
        <w:pStyle w:val="H2"/>
        <w:rPr>
          <w:szCs w:val="24"/>
        </w:rPr>
      </w:pPr>
      <w:r>
        <w:rPr>
          <w:szCs w:val="24"/>
        </w:rPr>
        <w:t>b</w:t>
      </w:r>
      <w:r w:rsidRPr="00B36F8E">
        <w:rPr>
          <w:szCs w:val="24"/>
        </w:rPr>
        <w:t xml:space="preserve">. </w:t>
      </w:r>
      <w:r>
        <w:t xml:space="preserve">Frequency </w:t>
      </w:r>
      <w:r w:rsidRPr="0054442E">
        <w:t>and characteristics of ACs</w:t>
      </w:r>
    </w:p>
    <w:p w14:paraId="222C70BC" w14:textId="7A14D7EE" w:rsidR="00B66123" w:rsidRDefault="004545E4" w:rsidP="00DC7577">
      <w:pPr>
        <w:pStyle w:val="ParagraphText"/>
      </w:pPr>
      <w:r w:rsidRPr="00074782">
        <w:t>Track frequencies of ACs during</w:t>
      </w:r>
      <w:r w:rsidR="008E4198">
        <w:t xml:space="preserve"> </w:t>
      </w:r>
      <w:r w:rsidR="00AA7A37">
        <w:rPr>
          <w:color w:val="202122"/>
          <w:shd w:val="clear" w:color="auto" w:fill="FFFFFF"/>
        </w:rPr>
        <w:t xml:space="preserve">the 2007–2017 </w:t>
      </w:r>
      <w:r w:rsidR="00AA7A37">
        <w:t>climatological period</w:t>
      </w:r>
      <w:r w:rsidRPr="00074782">
        <w:t>, ACs during low-skill periods, and ACs during high-ski</w:t>
      </w:r>
      <w:r>
        <w:t xml:space="preserve">ll periods are shown in Figs. </w:t>
      </w:r>
      <w:r w:rsidR="00520294">
        <w:t>6</w:t>
      </w:r>
      <w:r w:rsidRPr="00074782">
        <w:t>a–c</w:t>
      </w:r>
      <w:r>
        <w:t>,</w:t>
      </w:r>
      <w:r w:rsidR="00D5258E">
        <w:t xml:space="preserve"> respectively</w:t>
      </w:r>
      <w:r w:rsidR="00DC5936">
        <w:t>.</w:t>
      </w:r>
      <w:r w:rsidR="00DC5936" w:rsidRPr="00074782">
        <w:t xml:space="preserve"> </w:t>
      </w:r>
      <w:r w:rsidRPr="00074782">
        <w:t xml:space="preserve">There are relatively high track frequencies of ACs during </w:t>
      </w:r>
      <w:r w:rsidR="00AA7A37">
        <w:rPr>
          <w:color w:val="202122"/>
          <w:shd w:val="clear" w:color="auto" w:fill="FFFFFF"/>
        </w:rPr>
        <w:t xml:space="preserve">the 2007–2017 </w:t>
      </w:r>
      <w:r w:rsidR="00AA7A37">
        <w:t>climatological period</w:t>
      </w:r>
      <w:r w:rsidR="00AA7A37" w:rsidRPr="00074782" w:rsidDel="00AA7A37">
        <w:t xml:space="preserve"> </w:t>
      </w:r>
      <w:r w:rsidR="00D5258E">
        <w:t xml:space="preserve">(Fig. </w:t>
      </w:r>
      <w:r w:rsidR="00520294">
        <w:t>6</w:t>
      </w:r>
      <w:r w:rsidRPr="00074782">
        <w:t>a), ACs d</w:t>
      </w:r>
      <w:r w:rsidR="00D5258E">
        <w:t xml:space="preserve">uring low-skill periods (Fig. </w:t>
      </w:r>
      <w:r w:rsidR="00520294">
        <w:t>6</w:t>
      </w:r>
      <w:r w:rsidRPr="00074782">
        <w:t>b), and ACs du</w:t>
      </w:r>
      <w:r w:rsidR="00D5258E">
        <w:t xml:space="preserve">ring high-skill periods (Fig. </w:t>
      </w:r>
      <w:r w:rsidR="00520294">
        <w:t>6</w:t>
      </w:r>
      <w:r w:rsidRPr="00074782">
        <w:t xml:space="preserve">c) </w:t>
      </w:r>
      <w:r w:rsidR="006B13DD">
        <w:t>over</w:t>
      </w:r>
      <w:r w:rsidR="006B13DD" w:rsidRPr="00074782">
        <w:t xml:space="preserve"> </w:t>
      </w:r>
      <w:r w:rsidRPr="00074782">
        <w:t>the Barents, Kara, and Laptev Seas, portions of the central Arctic Ocean, central portions of the northern Eurasian coast, and portions of the Canad</w:t>
      </w:r>
      <w:r>
        <w:t>ian Archipelago</w:t>
      </w:r>
      <w:r w:rsidR="005C45DF">
        <w:t xml:space="preserve"> (refer to Fig. 1</w:t>
      </w:r>
      <w:r w:rsidR="005C45DF" w:rsidRPr="00074782">
        <w:t xml:space="preserve"> for m</w:t>
      </w:r>
      <w:r w:rsidR="005C45DF">
        <w:t>ap of Arctic geographical features)</w:t>
      </w:r>
      <w:r>
        <w:t>. Crawford and Serreze</w:t>
      </w:r>
      <w:r w:rsidRPr="00074782">
        <w:t xml:space="preserve"> (2016) and Fearon et al. (2021) similarly show relatively high frequencies of ACs </w:t>
      </w:r>
      <w:r w:rsidR="005B52AA">
        <w:t xml:space="preserve">during summer </w:t>
      </w:r>
      <w:r w:rsidR="006B13DD">
        <w:t>over</w:t>
      </w:r>
      <w:r w:rsidRPr="00074782">
        <w:t xml:space="preserve"> the Kara and Laptev Seas, </w:t>
      </w:r>
      <w:r>
        <w:t xml:space="preserve">the </w:t>
      </w:r>
      <w:r w:rsidRPr="00074782">
        <w:t>central Arctic Ocean</w:t>
      </w:r>
      <w:r>
        <w:t xml:space="preserve">, and </w:t>
      </w:r>
      <w:r w:rsidRPr="00074782">
        <w:t>central portions of the northern Eurasia</w:t>
      </w:r>
      <w:r>
        <w:t xml:space="preserve">n coast. </w:t>
      </w:r>
      <w:r w:rsidR="00B66123">
        <w:t xml:space="preserve">Crawford and Serreze (2016) </w:t>
      </w:r>
      <w:r w:rsidR="0034141F">
        <w:t xml:space="preserve">show </w:t>
      </w:r>
      <w:r w:rsidR="00B66123">
        <w:t>that Eurasia is an important source region for ACs during summer. AC genesis over Eurasia during summer may be linked in part to a reduction in static stability associated with turbulent and radiative heat fluxes from the heated landmass, lee cyclogenesis downstream of mountain ranges over northern Eurasia, and upper-tropospheric divergence associated with frequent upper-tropospheric troughs</w:t>
      </w:r>
      <w:r w:rsidR="00E829A9">
        <w:t xml:space="preserve"> that are</w:t>
      </w:r>
      <w:r w:rsidR="00610295">
        <w:t xml:space="preserve"> located</w:t>
      </w:r>
      <w:r w:rsidR="00B66123">
        <w:t xml:space="preserve"> east of the Ural Mountains (e.g., Crawford and Serreze 2016). </w:t>
      </w:r>
      <w:r w:rsidR="00885EA8">
        <w:t xml:space="preserve">In addition, </w:t>
      </w:r>
      <w:r w:rsidR="00234245">
        <w:t>along the Arctic coast there is a</w:t>
      </w:r>
      <w:r w:rsidR="00885EA8">
        <w:t xml:space="preserve"> band of strong horizontal t</w:t>
      </w:r>
      <w:r w:rsidR="00610295">
        <w:t>emperature</w:t>
      </w:r>
      <w:r w:rsidR="00885EA8">
        <w:t xml:space="preserve"> gradient</w:t>
      </w:r>
      <w:r w:rsidR="00615D2F">
        <w:t xml:space="preserve">, </w:t>
      </w:r>
      <w:r w:rsidR="00610295">
        <w:t xml:space="preserve">which is strongest near the surface and </w:t>
      </w:r>
      <w:r w:rsidR="0089353E">
        <w:t xml:space="preserve">extends </w:t>
      </w:r>
      <w:r w:rsidR="00610295">
        <w:t>into the upper troposphere</w:t>
      </w:r>
      <w:r w:rsidR="00615D2F">
        <w:t>,</w:t>
      </w:r>
      <w:r w:rsidR="00234245">
        <w:t xml:space="preserve"> that is </w:t>
      </w:r>
      <w:r w:rsidR="00885EA8">
        <w:t>referred to as the Arctic frontal zone (AFZ) (e.g., Crawford and Serreze 2015)</w:t>
      </w:r>
      <w:r w:rsidR="00234245">
        <w:t>. The AFZ</w:t>
      </w:r>
      <w:r w:rsidR="00885EA8">
        <w:t xml:space="preserve"> becomes established due to differential heating between the heated landmass</w:t>
      </w:r>
      <w:r w:rsidR="002241E0">
        <w:t xml:space="preserve"> </w:t>
      </w:r>
      <w:r w:rsidR="00885EA8">
        <w:t>and the cold Arctic Ocean and sea ice</w:t>
      </w:r>
      <w:r w:rsidR="006806FD">
        <w:t xml:space="preserve"> (e.g., </w:t>
      </w:r>
      <w:r w:rsidR="00234245">
        <w:t xml:space="preserve">Crawford and </w:t>
      </w:r>
      <w:r w:rsidR="00234245">
        <w:lastRenderedPageBreak/>
        <w:t>Serreze 2015, 2016)</w:t>
      </w:r>
      <w:r w:rsidR="00A1429F">
        <w:t>,</w:t>
      </w:r>
      <w:r w:rsidR="00234245">
        <w:t xml:space="preserve"> </w:t>
      </w:r>
      <w:r w:rsidR="00885EA8">
        <w:t>and has been shown to contribute to the intensification of ACs crossing the Arctic coast (e.g.</w:t>
      </w:r>
      <w:r w:rsidR="00E8314D">
        <w:t>,</w:t>
      </w:r>
      <w:r w:rsidR="007760E8">
        <w:t xml:space="preserve"> Crawford and Serreze </w:t>
      </w:r>
      <w:r w:rsidR="007A3EAF">
        <w:t>2016).</w:t>
      </w:r>
    </w:p>
    <w:p w14:paraId="0CACAE5D" w14:textId="77777777" w:rsidR="00A00C64" w:rsidRDefault="00A00C64" w:rsidP="00A00C64">
      <w:pPr>
        <w:pStyle w:val="ParagraphText"/>
        <w:ind w:firstLine="0"/>
      </w:pPr>
    </w:p>
    <w:p w14:paraId="5C96A254" w14:textId="674C70E4" w:rsidR="0093507C" w:rsidRDefault="002058CE" w:rsidP="0093507C">
      <w:pPr>
        <w:pStyle w:val="ParagraphText"/>
        <w:ind w:firstLine="0"/>
        <w:jc w:val="center"/>
      </w:pPr>
      <w:r>
        <w:rPr>
          <w:noProof/>
        </w:rPr>
        <w:drawing>
          <wp:inline distT="0" distB="0" distL="0" distR="0" wp14:anchorId="7FBCE837" wp14:editId="399EF863">
            <wp:extent cx="5731510" cy="60464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3"/>
                    <a:stretch>
                      <a:fillRect/>
                    </a:stretch>
                  </pic:blipFill>
                  <pic:spPr>
                    <a:xfrm>
                      <a:off x="0" y="0"/>
                      <a:ext cx="5731510" cy="6046470"/>
                    </a:xfrm>
                    <a:prstGeom prst="rect">
                      <a:avLst/>
                    </a:prstGeom>
                  </pic:spPr>
                </pic:pic>
              </a:graphicData>
            </a:graphic>
          </wp:inline>
        </w:drawing>
      </w:r>
    </w:p>
    <w:p w14:paraId="2E75812F" w14:textId="231D9870" w:rsidR="0093507C" w:rsidRPr="0093507C" w:rsidRDefault="00734D50" w:rsidP="0093507C">
      <w:pPr>
        <w:tabs>
          <w:tab w:val="left" w:pos="1993"/>
        </w:tabs>
        <w:spacing w:before="0" w:after="0" w:line="240" w:lineRule="auto"/>
        <w:ind w:firstLine="0"/>
      </w:pPr>
      <w:r w:rsidRPr="00734D50">
        <w:t xml:space="preserve">Fig. </w:t>
      </w:r>
      <w:r w:rsidR="004F5FB4">
        <w:t>6</w:t>
      </w:r>
      <w:r w:rsidRPr="00734D50">
        <w:t>. Track frequency (shading) of (a) ACs during the 2007–2017 climatological period, (b) ACs during low-skill periods, and (c) ACs during high-skill periods. Track frequency of</w:t>
      </w:r>
      <w:r w:rsidR="0074792F">
        <w:t xml:space="preserve"> </w:t>
      </w:r>
      <w:r w:rsidR="00242EA3">
        <w:t xml:space="preserve">the respective ACs </w:t>
      </w:r>
      <w:r w:rsidRPr="00734D50">
        <w:t xml:space="preserve">is calculated at each grid point (using a 1° grid) by determining the number of </w:t>
      </w:r>
      <w:r w:rsidR="00242EA3">
        <w:t>the respective ACs</w:t>
      </w:r>
      <w:r w:rsidRPr="00734D50">
        <w:t xml:space="preserve"> for which the grid point is located within 500 km of the center of the </w:t>
      </w:r>
      <w:r w:rsidR="00242EA3">
        <w:t xml:space="preserve">respective </w:t>
      </w:r>
      <w:r w:rsidRPr="00734D50">
        <w:t xml:space="preserve">ACs at any time during the respective periods, and then normalizing by the number of days in the respective periods (given in Table 1). </w:t>
      </w:r>
      <w:r w:rsidR="0093507C" w:rsidRPr="0093507C">
        <w:t>Units: number of ACs day</w:t>
      </w:r>
      <w:r w:rsidR="0093507C" w:rsidRPr="0093507C">
        <w:rPr>
          <w:vertAlign w:val="superscript"/>
        </w:rPr>
        <w:t>−1</w:t>
      </w:r>
      <w:r w:rsidR="0093507C" w:rsidRPr="0093507C">
        <w:t>.</w:t>
      </w:r>
    </w:p>
    <w:p w14:paraId="38DD8896" w14:textId="77777777" w:rsidR="0093507C" w:rsidRDefault="0093507C" w:rsidP="0093507C">
      <w:pPr>
        <w:pStyle w:val="ParagraphText"/>
        <w:ind w:firstLine="0"/>
      </w:pPr>
    </w:p>
    <w:p w14:paraId="276F48A9" w14:textId="3364C339" w:rsidR="00AA4C77" w:rsidRDefault="009C5485" w:rsidP="00E555CF">
      <w:pPr>
        <w:pStyle w:val="ParagraphText"/>
      </w:pPr>
      <w:r>
        <w:lastRenderedPageBreak/>
        <w:t xml:space="preserve">There are higher track frequencies of </w:t>
      </w:r>
      <w:r w:rsidR="00AA4C77" w:rsidRPr="00D20774">
        <w:t xml:space="preserve">ACs during low-skill periods </w:t>
      </w:r>
      <w:r>
        <w:t>compared to ACs during</w:t>
      </w:r>
      <w:r w:rsidR="008E4198">
        <w:t xml:space="preserve"> </w:t>
      </w:r>
      <w:r w:rsidR="00AA7A37">
        <w:rPr>
          <w:color w:val="202122"/>
          <w:shd w:val="clear" w:color="auto" w:fill="FFFFFF"/>
        </w:rPr>
        <w:t xml:space="preserve">the 2007–2017 </w:t>
      </w:r>
      <w:r w:rsidR="00AA7A37">
        <w:t xml:space="preserve">climatological period </w:t>
      </w:r>
      <w:r w:rsidR="006B13DD">
        <w:t>over</w:t>
      </w:r>
      <w:r w:rsidR="00AA4C77" w:rsidRPr="00D20774">
        <w:t xml:space="preserve"> much of the Arctic </w:t>
      </w:r>
      <w:r w:rsidR="00AA4C77">
        <w:t xml:space="preserve">(compare Fig. </w:t>
      </w:r>
      <w:r w:rsidR="00520294">
        <w:t>6</w:t>
      </w:r>
      <w:r w:rsidR="00AA4C77">
        <w:t xml:space="preserve">b with Fig. </w:t>
      </w:r>
      <w:r w:rsidR="00520294">
        <w:t>6</w:t>
      </w:r>
      <w:r w:rsidR="00AA4C77">
        <w:t xml:space="preserve">a; Fig. </w:t>
      </w:r>
      <w:r w:rsidR="00520294">
        <w:t>7</w:t>
      </w:r>
      <w:r w:rsidR="005A104A">
        <w:t xml:space="preserve">a), and there are lower track frequencies of </w:t>
      </w:r>
      <w:r w:rsidR="00AA4C77">
        <w:t xml:space="preserve">ACs during high-skill periods </w:t>
      </w:r>
      <w:r w:rsidR="005A104A">
        <w:t xml:space="preserve">compared to ACs during </w:t>
      </w:r>
      <w:r w:rsidR="00AA7A37">
        <w:rPr>
          <w:color w:val="202122"/>
          <w:shd w:val="clear" w:color="auto" w:fill="FFFFFF"/>
        </w:rPr>
        <w:t xml:space="preserve">the 2007–2017 </w:t>
      </w:r>
      <w:r w:rsidR="00AA7A37">
        <w:t>climatological period</w:t>
      </w:r>
      <w:r w:rsidR="005A104A">
        <w:t xml:space="preserve"> </w:t>
      </w:r>
      <w:r w:rsidR="006B13DD">
        <w:t>over</w:t>
      </w:r>
      <w:r w:rsidR="005A104A">
        <w:t xml:space="preserve"> much of the Arctic</w:t>
      </w:r>
      <w:r w:rsidR="00AA4C77" w:rsidRPr="00D20774">
        <w:t xml:space="preserve"> </w:t>
      </w:r>
      <w:r w:rsidR="00AA4C77">
        <w:t xml:space="preserve">(compare Fig. </w:t>
      </w:r>
      <w:r w:rsidR="00520294">
        <w:t>6</w:t>
      </w:r>
      <w:r w:rsidR="00AA4C77">
        <w:t xml:space="preserve">c with Fig. </w:t>
      </w:r>
      <w:r w:rsidR="00520294">
        <w:t>6</w:t>
      </w:r>
      <w:r w:rsidR="00AA4C77">
        <w:t xml:space="preserve">a; Fig. </w:t>
      </w:r>
      <w:r w:rsidR="00520294">
        <w:t>7</w:t>
      </w:r>
      <w:r w:rsidR="00AA4C77">
        <w:t>b</w:t>
      </w:r>
      <w:r w:rsidR="00AA4C77" w:rsidRPr="00074782">
        <w:t>).</w:t>
      </w:r>
      <w:r w:rsidR="00AA4C77">
        <w:t xml:space="preserve"> </w:t>
      </w:r>
      <w:r w:rsidR="005A104A">
        <w:t xml:space="preserve">Furthermore, there are higher track frequencies of </w:t>
      </w:r>
      <w:r w:rsidR="00AA4C77" w:rsidRPr="00D20774">
        <w:t xml:space="preserve">ACs during low-skill periods </w:t>
      </w:r>
      <w:r w:rsidR="005A104A">
        <w:t xml:space="preserve">compared to ACs during high-skill periods </w:t>
      </w:r>
      <w:r w:rsidR="006B13DD">
        <w:t>over</w:t>
      </w:r>
      <w:r w:rsidR="005A104A">
        <w:t xml:space="preserve"> much of the Arctic </w:t>
      </w:r>
      <w:r w:rsidR="00AA4C77">
        <w:t xml:space="preserve">(compare Fig. </w:t>
      </w:r>
      <w:r w:rsidR="00520294">
        <w:t>6</w:t>
      </w:r>
      <w:r w:rsidR="00AA4C77" w:rsidRPr="00D20774">
        <w:t>b with Fi</w:t>
      </w:r>
      <w:r w:rsidR="005A104A">
        <w:t xml:space="preserve">g. </w:t>
      </w:r>
      <w:r w:rsidR="00520294">
        <w:t>6</w:t>
      </w:r>
      <w:r w:rsidR="005A104A">
        <w:t xml:space="preserve">c; Fig. </w:t>
      </w:r>
      <w:r w:rsidR="00520294">
        <w:t>7</w:t>
      </w:r>
      <w:r w:rsidR="005A104A">
        <w:t xml:space="preserve">c). The higher track frequencies of </w:t>
      </w:r>
      <w:r w:rsidR="005A104A" w:rsidRPr="00D20774">
        <w:t xml:space="preserve">ACs during low-skill periods </w:t>
      </w:r>
      <w:r w:rsidR="005A104A">
        <w:t xml:space="preserve">compared to ACs during high-skill periods is </w:t>
      </w:r>
      <w:r w:rsidR="00044F02">
        <w:t>consistent with the suggestion in section 3a that Arctic environmenta</w:t>
      </w:r>
      <w:r w:rsidR="00952C49">
        <w:t>l conditions tend to be</w:t>
      </w:r>
      <w:r w:rsidR="00044F02">
        <w:t xml:space="preserve"> more </w:t>
      </w:r>
      <w:r w:rsidR="00404DC0">
        <w:t>conducive</w:t>
      </w:r>
      <w:r w:rsidR="00044F02" w:rsidRPr="00E555CF">
        <w:t xml:space="preserve"> </w:t>
      </w:r>
      <w:r w:rsidR="00BD2211">
        <w:t xml:space="preserve">to </w:t>
      </w:r>
      <w:r w:rsidR="00044F02" w:rsidRPr="00E555CF">
        <w:t>more frequent occurrences of ACs during low-skill periods</w:t>
      </w:r>
      <w:r w:rsidR="00044F02">
        <w:t xml:space="preserve"> </w:t>
      </w:r>
      <w:r w:rsidR="00044F02" w:rsidRPr="00E555CF">
        <w:t>compared to high-skill periods.</w:t>
      </w:r>
    </w:p>
    <w:p w14:paraId="42F4B89B" w14:textId="77777777" w:rsidR="0093507C" w:rsidRDefault="0093507C" w:rsidP="00E555CF">
      <w:pPr>
        <w:pStyle w:val="ParagraphText"/>
      </w:pPr>
    </w:p>
    <w:p w14:paraId="38AF038B" w14:textId="3BA2285D" w:rsidR="0093507C" w:rsidRDefault="002058CE" w:rsidP="00921D69">
      <w:pPr>
        <w:pStyle w:val="ParagraphText"/>
        <w:ind w:firstLine="0"/>
        <w:jc w:val="center"/>
      </w:pPr>
      <w:r>
        <w:rPr>
          <w:noProof/>
        </w:rPr>
        <w:lastRenderedPageBreak/>
        <w:drawing>
          <wp:inline distT="0" distB="0" distL="0" distR="0" wp14:anchorId="588F8D83" wp14:editId="09CC9270">
            <wp:extent cx="5731510" cy="60464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stretch>
                      <a:fillRect/>
                    </a:stretch>
                  </pic:blipFill>
                  <pic:spPr>
                    <a:xfrm>
                      <a:off x="0" y="0"/>
                      <a:ext cx="5731510" cy="6046470"/>
                    </a:xfrm>
                    <a:prstGeom prst="rect">
                      <a:avLst/>
                    </a:prstGeom>
                  </pic:spPr>
                </pic:pic>
              </a:graphicData>
            </a:graphic>
          </wp:inline>
        </w:drawing>
      </w:r>
    </w:p>
    <w:p w14:paraId="6C8C71D3" w14:textId="18346BE8" w:rsidR="0093507C" w:rsidRPr="0093507C" w:rsidRDefault="0093507C" w:rsidP="0093507C">
      <w:pPr>
        <w:tabs>
          <w:tab w:val="left" w:pos="1993"/>
        </w:tabs>
        <w:spacing w:before="0" w:after="0" w:line="240" w:lineRule="auto"/>
        <w:ind w:firstLine="0"/>
      </w:pPr>
      <w:r w:rsidRPr="0093507C">
        <w:t xml:space="preserve">Fig. </w:t>
      </w:r>
      <w:r w:rsidR="004F5FB4">
        <w:t>7</w:t>
      </w:r>
      <w:r w:rsidRPr="0093507C">
        <w:t xml:space="preserve">. Difference in track frequency between (a) ACs during low-skill periods and ACs during the 2007–2017 climatological period (Fig. </w:t>
      </w:r>
      <w:r w:rsidR="004F5FB4">
        <w:t>6</w:t>
      </w:r>
      <w:r w:rsidRPr="0093507C">
        <w:t xml:space="preserve">b minus Fig. </w:t>
      </w:r>
      <w:r w:rsidR="004F5FB4">
        <w:t>6</w:t>
      </w:r>
      <w:r w:rsidRPr="0093507C">
        <w:t xml:space="preserve">a), (b) ACs during high-skill periods and ACs during the 2007–2017 climatological period (Fig. </w:t>
      </w:r>
      <w:r w:rsidR="004F5FB4">
        <w:t>6</w:t>
      </w:r>
      <w:r w:rsidRPr="0093507C">
        <w:t xml:space="preserve">c minus Fig. </w:t>
      </w:r>
      <w:r w:rsidR="004F5FB4">
        <w:t>6</w:t>
      </w:r>
      <w:r w:rsidRPr="0093507C">
        <w:t xml:space="preserve">a), and (c) ACs during low-skill periods and ACs during high-skill periods (Fig. </w:t>
      </w:r>
      <w:r w:rsidR="004F5FB4">
        <w:t>6</w:t>
      </w:r>
      <w:r w:rsidRPr="0093507C">
        <w:t xml:space="preserve">b minus Fig. </w:t>
      </w:r>
      <w:r w:rsidR="004F5FB4">
        <w:t>6</w:t>
      </w:r>
      <w:r w:rsidRPr="0093507C">
        <w:t xml:space="preserve">c; also Fig. </w:t>
      </w:r>
      <w:r w:rsidR="004F5FB4">
        <w:t>7</w:t>
      </w:r>
      <w:r w:rsidRPr="0093507C">
        <w:t xml:space="preserve">a minus Fig. </w:t>
      </w:r>
      <w:r w:rsidR="004F5FB4">
        <w:t>7</w:t>
      </w:r>
      <w:r w:rsidRPr="0093507C">
        <w:t>b). Units: number of ACs day</w:t>
      </w:r>
      <w:r w:rsidRPr="0093507C">
        <w:rPr>
          <w:vertAlign w:val="superscript"/>
        </w:rPr>
        <w:t>−1</w:t>
      </w:r>
      <w:r w:rsidRPr="0093507C">
        <w:t>.</w:t>
      </w:r>
    </w:p>
    <w:p w14:paraId="14040E21" w14:textId="77777777" w:rsidR="0093507C" w:rsidRDefault="0093507C" w:rsidP="0093507C">
      <w:pPr>
        <w:pStyle w:val="ParagraphText"/>
        <w:ind w:firstLine="0"/>
      </w:pPr>
    </w:p>
    <w:p w14:paraId="491ADD09" w14:textId="39170C14" w:rsidR="0051010E" w:rsidRDefault="00AA4C77" w:rsidP="00A00C64">
      <w:r>
        <w:t>There</w:t>
      </w:r>
      <w:r w:rsidRPr="00211751">
        <w:t xml:space="preserve"> tends to be lower 500-hPa geopotential height </w:t>
      </w:r>
      <w:r w:rsidR="006B13DD">
        <w:t>over</w:t>
      </w:r>
      <w:r w:rsidR="006B13DD" w:rsidRPr="00211751">
        <w:t xml:space="preserve"> </w:t>
      </w:r>
      <w:r w:rsidRPr="00211751">
        <w:t>much</w:t>
      </w:r>
      <w:r>
        <w:t xml:space="preserve"> of</w:t>
      </w:r>
      <w:r w:rsidRPr="00211751">
        <w:t xml:space="preserve"> the Arctic and higher 500-hPa geopotential height </w:t>
      </w:r>
      <w:r w:rsidR="006B13DD">
        <w:t>over</w:t>
      </w:r>
      <w:r w:rsidR="006B13DD" w:rsidRPr="00211751">
        <w:t xml:space="preserve"> </w:t>
      </w:r>
      <w:r w:rsidRPr="00211751">
        <w:t>much of the</w:t>
      </w:r>
      <w:r>
        <w:t xml:space="preserve"> surrounding</w:t>
      </w:r>
      <w:r w:rsidRPr="00211751">
        <w:t xml:space="preserve"> middle latitudes during low-skill periods compared</w:t>
      </w:r>
      <w:r>
        <w:t xml:space="preserve"> to high-skill periods (Fig. </w:t>
      </w:r>
      <w:r w:rsidR="00520294">
        <w:t>8</w:t>
      </w:r>
      <w:r>
        <w:t>a).</w:t>
      </w:r>
      <w:r w:rsidRPr="00AA4C77">
        <w:t xml:space="preserve"> </w:t>
      </w:r>
      <w:r>
        <w:t>The aforementioned 500-hPa geopotential height differences imply</w:t>
      </w:r>
      <w:r w:rsidRPr="00211751">
        <w:t xml:space="preserve"> </w:t>
      </w:r>
      <w:r>
        <w:t xml:space="preserve">that there tends to be </w:t>
      </w:r>
      <w:r w:rsidRPr="00211751">
        <w:t>stronger 500-hPa geopotential height gradient</w:t>
      </w:r>
      <w:r>
        <w:t xml:space="preserve">s and concomitantly </w:t>
      </w:r>
      <w:r w:rsidR="00403C5C">
        <w:t>stronger</w:t>
      </w:r>
      <w:r w:rsidRPr="00211751">
        <w:t xml:space="preserve"> </w:t>
      </w:r>
      <w:r>
        <w:t>lower-to-</w:t>
      </w:r>
      <w:proofErr w:type="spellStart"/>
      <w:r>
        <w:t>midtropospheric</w:t>
      </w:r>
      <w:proofErr w:type="spellEnd"/>
      <w:r>
        <w:t xml:space="preserve"> </w:t>
      </w:r>
      <w:r w:rsidRPr="00211751">
        <w:t xml:space="preserve">baroclinicity </w:t>
      </w:r>
      <w:r w:rsidR="00544703">
        <w:t xml:space="preserve">in the vicinity of the </w:t>
      </w:r>
      <w:r w:rsidR="00544703">
        <w:lastRenderedPageBreak/>
        <w:t>equatorward boundary of the</w:t>
      </w:r>
      <w:r w:rsidR="00544703" w:rsidRPr="00211751">
        <w:t xml:space="preserve"> Arctic </w:t>
      </w:r>
      <w:r w:rsidR="00544703">
        <w:t xml:space="preserve">(i.e., 70°N) </w:t>
      </w:r>
      <w:r w:rsidR="00544703" w:rsidRPr="00211751">
        <w:t>during low-skill periods compared to high-skill periods</w:t>
      </w:r>
      <w:r w:rsidR="00544703">
        <w:t>.</w:t>
      </w:r>
      <w:r w:rsidR="00544703" w:rsidRPr="00AA4C77">
        <w:t xml:space="preserve"> </w:t>
      </w:r>
      <w:r w:rsidR="0051010E">
        <w:t>The</w:t>
      </w:r>
      <w:r w:rsidR="0051010E" w:rsidRPr="00211751">
        <w:t xml:space="preserve"> </w:t>
      </w:r>
      <w:r w:rsidR="00403C5C">
        <w:t>stronger</w:t>
      </w:r>
      <w:r w:rsidR="0051010E">
        <w:t xml:space="preserve"> lower-to-</w:t>
      </w:r>
      <w:proofErr w:type="spellStart"/>
      <w:r w:rsidR="0051010E">
        <w:t>midtropospheric</w:t>
      </w:r>
      <w:proofErr w:type="spellEnd"/>
      <w:r w:rsidR="0051010E">
        <w:t xml:space="preserve"> </w:t>
      </w:r>
      <w:r w:rsidR="0051010E" w:rsidRPr="00211751">
        <w:t xml:space="preserve">baroclinicity </w:t>
      </w:r>
      <w:r w:rsidR="006347CB">
        <w:t xml:space="preserve">in the vicinity of the </w:t>
      </w:r>
      <w:r w:rsidR="00544703">
        <w:t xml:space="preserve">equatorward boundary of </w:t>
      </w:r>
      <w:r w:rsidR="00544703" w:rsidRPr="00211751">
        <w:t>the Arctic</w:t>
      </w:r>
      <w:r w:rsidR="0051010E" w:rsidRPr="00211751">
        <w:t xml:space="preserve"> </w:t>
      </w:r>
      <w:r w:rsidR="0051010E">
        <w:t xml:space="preserve">corresponds to </w:t>
      </w:r>
      <w:r w:rsidR="0051010E" w:rsidRPr="00211751">
        <w:t>larger lower-to-</w:t>
      </w:r>
      <w:proofErr w:type="spellStart"/>
      <w:r w:rsidR="0051010E" w:rsidRPr="00211751">
        <w:t>midtropospheric</w:t>
      </w:r>
      <w:proofErr w:type="spellEnd"/>
      <w:r w:rsidR="0051010E" w:rsidRPr="00211751">
        <w:t xml:space="preserve"> </w:t>
      </w:r>
      <w:r w:rsidR="0051010E">
        <w:t>EGR</w:t>
      </w:r>
      <w:r w:rsidR="0051010E" w:rsidRPr="00211751">
        <w:t xml:space="preserve"> </w:t>
      </w:r>
      <w:r w:rsidR="006347CB">
        <w:t>in the vicinity</w:t>
      </w:r>
      <w:r w:rsidR="0051010E" w:rsidRPr="00211751">
        <w:t xml:space="preserve"> of the </w:t>
      </w:r>
      <w:r w:rsidR="00544703">
        <w:t xml:space="preserve">equatorward boundary of </w:t>
      </w:r>
      <w:r w:rsidR="00544703" w:rsidRPr="00211751">
        <w:t>the Arctic</w:t>
      </w:r>
      <w:r w:rsidR="0051010E">
        <w:t xml:space="preserve"> </w:t>
      </w:r>
      <w:r w:rsidR="0051010E" w:rsidRPr="00211751">
        <w:t>during low-skill periods compared</w:t>
      </w:r>
      <w:r w:rsidR="0051010E">
        <w:t xml:space="preserve"> to high-skill periods (Fig. </w:t>
      </w:r>
      <w:r w:rsidR="00520294">
        <w:t>8</w:t>
      </w:r>
      <w:r w:rsidR="0051010E">
        <w:t>b).</w:t>
      </w:r>
      <w:r w:rsidR="00B10840">
        <w:t xml:space="preserve"> </w:t>
      </w:r>
      <w:r w:rsidR="0051010E">
        <w:t>There is also larger</w:t>
      </w:r>
      <w:r w:rsidR="00D55117">
        <w:t xml:space="preserve"> lower-to-</w:t>
      </w:r>
      <w:proofErr w:type="spellStart"/>
      <w:r w:rsidR="00D55117">
        <w:t>midtropospheric</w:t>
      </w:r>
      <w:proofErr w:type="spellEnd"/>
      <w:r w:rsidR="00D55117">
        <w:t xml:space="preserve"> EGR </w:t>
      </w:r>
      <w:r w:rsidR="006B13DD">
        <w:t xml:space="preserve">over </w:t>
      </w:r>
      <w:r w:rsidR="0051010E">
        <w:t>much of the Arctic during low-skill periods compared to high-skill periods</w:t>
      </w:r>
      <w:r w:rsidR="009C0219">
        <w:t xml:space="preserve"> (Fig. </w:t>
      </w:r>
      <w:r w:rsidR="00520294">
        <w:t>8</w:t>
      </w:r>
      <w:r w:rsidR="009C0219">
        <w:t>b)</w:t>
      </w:r>
      <w:r w:rsidR="0051010E">
        <w:t xml:space="preserve">. In addition, there is stronger moisture transport </w:t>
      </w:r>
      <w:r w:rsidR="006347CB">
        <w:t>in the vicinity</w:t>
      </w:r>
      <w:r w:rsidR="0051010E">
        <w:t xml:space="preserve"> of the </w:t>
      </w:r>
      <w:r w:rsidR="00544703">
        <w:t xml:space="preserve">equatorward boundary of </w:t>
      </w:r>
      <w:r w:rsidR="00544703" w:rsidRPr="00211751">
        <w:t>the Arctic</w:t>
      </w:r>
      <w:r w:rsidR="00BF5261">
        <w:t xml:space="preserve"> and </w:t>
      </w:r>
      <w:r w:rsidR="006B13DD">
        <w:t>over</w:t>
      </w:r>
      <w:r w:rsidR="0051010E">
        <w:t xml:space="preserve"> much of the Arctic during low-skill periods compared to high-skill periods (Fig. </w:t>
      </w:r>
      <w:r w:rsidR="00520294">
        <w:t>8</w:t>
      </w:r>
      <w:r w:rsidR="0051010E">
        <w:t>c).</w:t>
      </w:r>
      <w:r w:rsidR="0051010E" w:rsidRPr="00AA4C77">
        <w:t xml:space="preserve"> </w:t>
      </w:r>
      <w:r w:rsidR="0051010E">
        <w:t>R</w:t>
      </w:r>
      <w:r w:rsidR="0051010E" w:rsidRPr="008246A8">
        <w:t>egions of larger lower-to-</w:t>
      </w:r>
      <w:proofErr w:type="spellStart"/>
      <w:r w:rsidR="0051010E" w:rsidRPr="008246A8">
        <w:t>midtropospheric</w:t>
      </w:r>
      <w:proofErr w:type="spellEnd"/>
      <w:r w:rsidR="0051010E" w:rsidRPr="008246A8">
        <w:t xml:space="preserve"> </w:t>
      </w:r>
      <w:r w:rsidR="0051010E">
        <w:t xml:space="preserve">EGR (Fig. </w:t>
      </w:r>
      <w:r w:rsidR="00520294">
        <w:t>8</w:t>
      </w:r>
      <w:r w:rsidR="0051010E" w:rsidRPr="008246A8">
        <w:t xml:space="preserve">b) and </w:t>
      </w:r>
      <w:r w:rsidR="0051010E">
        <w:t>stronger</w:t>
      </w:r>
      <w:r w:rsidR="0051010E" w:rsidRPr="008246A8">
        <w:t xml:space="preserve"> </w:t>
      </w:r>
      <w:r w:rsidR="0051010E">
        <w:t xml:space="preserve">moisture transport (Fig. </w:t>
      </w:r>
      <w:r w:rsidR="00520294">
        <w:t>8</w:t>
      </w:r>
      <w:r w:rsidR="0051010E" w:rsidRPr="008246A8">
        <w:t>c) during low-skill periods</w:t>
      </w:r>
      <w:r w:rsidR="006347CB">
        <w:t xml:space="preserve"> compared to high-skill periods</w:t>
      </w:r>
      <w:r w:rsidR="0051010E" w:rsidRPr="008246A8">
        <w:t xml:space="preserve"> generally coincide with reg</w:t>
      </w:r>
      <w:r w:rsidR="0051010E">
        <w:t>ions of higher track frequency</w:t>
      </w:r>
      <w:r w:rsidR="0051010E" w:rsidRPr="008246A8">
        <w:t xml:space="preserve"> of ACs </w:t>
      </w:r>
      <w:r w:rsidR="0051010E">
        <w:t xml:space="preserve">during low-skill periods </w:t>
      </w:r>
      <w:r w:rsidR="006347CB">
        <w:t xml:space="preserve">compared to high-skill periods </w:t>
      </w:r>
      <w:r w:rsidR="0051010E">
        <w:t xml:space="preserve">(Fig. </w:t>
      </w:r>
      <w:r w:rsidR="00520294">
        <w:t>7</w:t>
      </w:r>
      <w:r w:rsidR="0051010E" w:rsidRPr="008246A8">
        <w:t>c)</w:t>
      </w:r>
      <w:r w:rsidR="004A42B2">
        <w:t>.</w:t>
      </w:r>
    </w:p>
    <w:p w14:paraId="0E2E9AD6" w14:textId="77777777" w:rsidR="0093507C" w:rsidRDefault="0093507C" w:rsidP="00AA4C77">
      <w:pPr>
        <w:pStyle w:val="ParagraphText"/>
      </w:pPr>
    </w:p>
    <w:p w14:paraId="784B460D" w14:textId="77777777" w:rsidR="0093507C" w:rsidRDefault="0093507C" w:rsidP="00AA4C77">
      <w:pPr>
        <w:pStyle w:val="ParagraphText"/>
      </w:pPr>
    </w:p>
    <w:p w14:paraId="5C0ABC9E" w14:textId="77777777" w:rsidR="0093507C" w:rsidRDefault="0093507C" w:rsidP="00AA4C77">
      <w:pPr>
        <w:pStyle w:val="ParagraphText"/>
      </w:pPr>
    </w:p>
    <w:p w14:paraId="1C9A40C1" w14:textId="77777777" w:rsidR="0093507C" w:rsidRDefault="0093507C" w:rsidP="00AA4C77">
      <w:pPr>
        <w:pStyle w:val="ParagraphText"/>
      </w:pPr>
    </w:p>
    <w:p w14:paraId="601DF30D" w14:textId="77777777" w:rsidR="0093507C" w:rsidRDefault="0093507C" w:rsidP="00AA4C77">
      <w:pPr>
        <w:pStyle w:val="ParagraphText"/>
      </w:pPr>
    </w:p>
    <w:p w14:paraId="1C98435D" w14:textId="77777777" w:rsidR="0093507C" w:rsidRDefault="0093507C" w:rsidP="00AA4C77">
      <w:pPr>
        <w:pStyle w:val="ParagraphText"/>
      </w:pPr>
    </w:p>
    <w:p w14:paraId="1A70D012" w14:textId="77777777" w:rsidR="0093507C" w:rsidRDefault="0093507C" w:rsidP="00AA4C77">
      <w:pPr>
        <w:pStyle w:val="ParagraphText"/>
      </w:pPr>
    </w:p>
    <w:p w14:paraId="5B0F2CDC" w14:textId="77777777" w:rsidR="0093507C" w:rsidRDefault="0093507C" w:rsidP="00AA4C77">
      <w:pPr>
        <w:pStyle w:val="ParagraphText"/>
      </w:pPr>
    </w:p>
    <w:p w14:paraId="252D7219" w14:textId="77777777" w:rsidR="0093507C" w:rsidRDefault="0093507C" w:rsidP="00AA4C77">
      <w:pPr>
        <w:pStyle w:val="ParagraphText"/>
      </w:pPr>
    </w:p>
    <w:p w14:paraId="121A8600" w14:textId="48F3159C" w:rsidR="0093507C" w:rsidRDefault="002058CE" w:rsidP="00921D69">
      <w:pPr>
        <w:pStyle w:val="ParagraphText"/>
        <w:ind w:firstLine="0"/>
        <w:jc w:val="center"/>
      </w:pPr>
      <w:r>
        <w:rPr>
          <w:noProof/>
        </w:rPr>
        <w:lastRenderedPageBreak/>
        <w:drawing>
          <wp:inline distT="0" distB="0" distL="0" distR="0" wp14:anchorId="743619F2" wp14:editId="1A993DCD">
            <wp:extent cx="5731510" cy="636143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5"/>
                    <a:stretch>
                      <a:fillRect/>
                    </a:stretch>
                  </pic:blipFill>
                  <pic:spPr>
                    <a:xfrm>
                      <a:off x="0" y="0"/>
                      <a:ext cx="5731510" cy="6361430"/>
                    </a:xfrm>
                    <a:prstGeom prst="rect">
                      <a:avLst/>
                    </a:prstGeom>
                  </pic:spPr>
                </pic:pic>
              </a:graphicData>
            </a:graphic>
          </wp:inline>
        </w:drawing>
      </w:r>
    </w:p>
    <w:p w14:paraId="766C11FF" w14:textId="1BC2C04B" w:rsidR="003D1DD8" w:rsidRPr="003D1DD8" w:rsidRDefault="003D1DD8" w:rsidP="003D1DD8">
      <w:pPr>
        <w:tabs>
          <w:tab w:val="left" w:pos="1993"/>
        </w:tabs>
        <w:snapToGrid/>
        <w:spacing w:before="0" w:after="0" w:line="240" w:lineRule="auto"/>
        <w:ind w:firstLine="0"/>
        <w:rPr>
          <w:rFonts w:eastAsia="MS Mincho"/>
          <w:szCs w:val="24"/>
        </w:rPr>
      </w:pPr>
      <w:r w:rsidRPr="003D1DD8">
        <w:rPr>
          <w:rFonts w:eastAsia="MS Mincho"/>
          <w:szCs w:val="24"/>
        </w:rPr>
        <w:t xml:space="preserve">Fig. </w:t>
      </w:r>
      <w:r w:rsidR="004F5FB4">
        <w:rPr>
          <w:rFonts w:eastAsia="MS Mincho"/>
          <w:szCs w:val="24"/>
        </w:rPr>
        <w:t>8</w:t>
      </w:r>
      <w:r w:rsidRPr="003D1DD8">
        <w:rPr>
          <w:rFonts w:eastAsia="MS Mincho"/>
          <w:szCs w:val="24"/>
        </w:rPr>
        <w:t>. Shading shows differences of (a) mean 500-hPa geopotential height (dam), (b) mean 850–600-hPa EGR (day</w:t>
      </w:r>
      <w:r w:rsidRPr="003D1DD8">
        <w:rPr>
          <w:rFonts w:eastAsia="MS Mincho"/>
          <w:szCs w:val="24"/>
          <w:vertAlign w:val="superscript"/>
        </w:rPr>
        <w:t>−1</w:t>
      </w:r>
      <w:r w:rsidRPr="003D1DD8">
        <w:rPr>
          <w:rFonts w:eastAsia="MS Mincho"/>
          <w:szCs w:val="24"/>
        </w:rPr>
        <w:t>), and (c) mean 1000–300-hPa IVT (kg m</w:t>
      </w:r>
      <w:r w:rsidRPr="003D1DD8">
        <w:rPr>
          <w:rFonts w:eastAsia="MS Mincho"/>
          <w:szCs w:val="24"/>
          <w:vertAlign w:val="superscript"/>
        </w:rPr>
        <w:t>−1</w:t>
      </w:r>
      <w:r w:rsidRPr="003D1DD8">
        <w:rPr>
          <w:rFonts w:eastAsia="MS Mincho"/>
          <w:szCs w:val="24"/>
        </w:rPr>
        <w:t xml:space="preserve"> s</w:t>
      </w:r>
      <w:r w:rsidRPr="003D1DD8">
        <w:rPr>
          <w:rFonts w:eastAsia="MS Mincho"/>
          <w:szCs w:val="24"/>
          <w:vertAlign w:val="superscript"/>
        </w:rPr>
        <w:t>−1</w:t>
      </w:r>
      <w:r w:rsidRPr="003D1DD8">
        <w:rPr>
          <w:rFonts w:eastAsia="MS Mincho"/>
          <w:szCs w:val="24"/>
        </w:rPr>
        <w:t>) between low-skill periods and high-skill periods (i.e., low-skill periods minus high-skill periods).</w:t>
      </w:r>
      <w:r w:rsidR="0062646A">
        <w:rPr>
          <w:rFonts w:eastAsia="MS Mincho"/>
          <w:szCs w:val="24"/>
        </w:rPr>
        <w:t xml:space="preserve"> Black contours show</w:t>
      </w:r>
      <w:r w:rsidR="0062646A" w:rsidRPr="0062646A">
        <w:rPr>
          <w:rFonts w:eastAsia="MS Mincho"/>
          <w:szCs w:val="24"/>
        </w:rPr>
        <w:t xml:space="preserve"> </w:t>
      </w:r>
      <w:r w:rsidR="0062646A" w:rsidRPr="003D1DD8">
        <w:rPr>
          <w:rFonts w:eastAsia="MS Mincho"/>
          <w:szCs w:val="24"/>
        </w:rPr>
        <w:t xml:space="preserve">(a) </w:t>
      </w:r>
      <w:r w:rsidR="00486C06">
        <w:rPr>
          <w:rFonts w:eastAsia="MS Mincho"/>
          <w:szCs w:val="24"/>
        </w:rPr>
        <w:t>m</w:t>
      </w:r>
      <w:r w:rsidR="0062646A" w:rsidRPr="003D1DD8">
        <w:rPr>
          <w:rFonts w:eastAsia="MS Mincho"/>
          <w:szCs w:val="24"/>
        </w:rPr>
        <w:t>ean 500-hPa geopotential height during low-skill periods (every 6 dam), (b) mean 850–600-hPa EGR during low-skill periods (every 0.06 day</w:t>
      </w:r>
      <w:r w:rsidR="0062646A" w:rsidRPr="003D1DD8">
        <w:rPr>
          <w:rFonts w:eastAsia="MS Mincho"/>
          <w:szCs w:val="24"/>
          <w:vertAlign w:val="superscript"/>
        </w:rPr>
        <w:t>−1</w:t>
      </w:r>
      <w:r w:rsidR="0062646A" w:rsidRPr="003D1DD8">
        <w:rPr>
          <w:rFonts w:eastAsia="MS Mincho"/>
          <w:szCs w:val="24"/>
        </w:rPr>
        <w:t>), and (c) mean 1000–300-hPa IVT during low-skill periods (every 20 kg m</w:t>
      </w:r>
      <w:r w:rsidR="0062646A" w:rsidRPr="003D1DD8">
        <w:rPr>
          <w:rFonts w:eastAsia="MS Mincho"/>
          <w:szCs w:val="24"/>
          <w:vertAlign w:val="superscript"/>
        </w:rPr>
        <w:t>−1</w:t>
      </w:r>
      <w:r w:rsidR="0062646A" w:rsidRPr="003D1DD8">
        <w:rPr>
          <w:rFonts w:eastAsia="MS Mincho"/>
          <w:szCs w:val="24"/>
        </w:rPr>
        <w:t xml:space="preserve"> s</w:t>
      </w:r>
      <w:r w:rsidR="0062646A" w:rsidRPr="003D1DD8">
        <w:rPr>
          <w:rFonts w:eastAsia="MS Mincho"/>
          <w:szCs w:val="24"/>
          <w:vertAlign w:val="superscript"/>
        </w:rPr>
        <w:t>−1</w:t>
      </w:r>
      <w:r w:rsidR="0062646A" w:rsidRPr="003D1DD8">
        <w:rPr>
          <w:rFonts w:eastAsia="MS Mincho"/>
          <w:szCs w:val="24"/>
        </w:rPr>
        <w:t>).</w:t>
      </w:r>
    </w:p>
    <w:p w14:paraId="71D9EC54" w14:textId="77777777" w:rsidR="003D1DD8" w:rsidRDefault="003D1DD8" w:rsidP="00816E83">
      <w:pPr>
        <w:pStyle w:val="ParagraphText"/>
        <w:ind w:firstLine="0"/>
      </w:pPr>
    </w:p>
    <w:p w14:paraId="17445B50" w14:textId="5C7FF5CC" w:rsidR="00183528" w:rsidRDefault="00491B14" w:rsidP="00817C5F">
      <w:pPr>
        <w:pStyle w:val="ParagraphText"/>
      </w:pPr>
      <w:r>
        <w:t>Distributions of the most extreme value, as defined in section 2c, of q</w:t>
      </w:r>
      <w:r w:rsidR="0023390B">
        <w:t>uantities characterizing ACs</w:t>
      </w:r>
      <w:r>
        <w:t xml:space="preserve"> </w:t>
      </w:r>
      <w:r w:rsidR="00293A06">
        <w:t xml:space="preserve">are </w:t>
      </w:r>
      <w:r w:rsidR="0023390B">
        <w:t>now examined</w:t>
      </w:r>
      <w:r w:rsidR="00846B8B">
        <w:t xml:space="preserve">. </w:t>
      </w:r>
      <w:r w:rsidR="00513A2E" w:rsidRPr="008246A8">
        <w:t>ACs during low-skill periods tend to be</w:t>
      </w:r>
      <w:r w:rsidR="00846B8B">
        <w:t xml:space="preserve"> statistically significantly</w:t>
      </w:r>
      <w:r w:rsidR="00513A2E" w:rsidRPr="008246A8">
        <w:t xml:space="preserve"> </w:t>
      </w:r>
      <w:r w:rsidR="00513A2E">
        <w:t xml:space="preserve">stronger (Fig. </w:t>
      </w:r>
      <w:r w:rsidR="00520294">
        <w:t>9</w:t>
      </w:r>
      <w:r w:rsidR="00513A2E" w:rsidRPr="008246A8">
        <w:t xml:space="preserve">a), and </w:t>
      </w:r>
      <w:r w:rsidR="00513A2E">
        <w:t>tend to be located</w:t>
      </w:r>
      <w:r w:rsidR="00513A2E" w:rsidRPr="008246A8">
        <w:t xml:space="preserve"> in regions characterized by </w:t>
      </w:r>
      <w:r w:rsidR="00846B8B">
        <w:t xml:space="preserve">statistically </w:t>
      </w:r>
      <w:r w:rsidR="00846B8B">
        <w:lastRenderedPageBreak/>
        <w:t xml:space="preserve">significantly </w:t>
      </w:r>
      <w:r w:rsidR="00513A2E">
        <w:t xml:space="preserve">stronger lower-tropospheric flow (Fig. </w:t>
      </w:r>
      <w:r w:rsidR="00520294">
        <w:t>9</w:t>
      </w:r>
      <w:r w:rsidR="00513A2E" w:rsidRPr="008246A8">
        <w:t xml:space="preserve">b), </w:t>
      </w:r>
      <w:r w:rsidR="00BC55C9">
        <w:t xml:space="preserve">statistically significantly </w:t>
      </w:r>
      <w:r w:rsidR="00403C5C">
        <w:t>stronger</w:t>
      </w:r>
      <w:r w:rsidR="00513A2E" w:rsidRPr="008246A8">
        <w:t xml:space="preserve"> lower-tr</w:t>
      </w:r>
      <w:r w:rsidR="00513A2E">
        <w:t xml:space="preserve">opospheric baroclinicity (Fig. </w:t>
      </w:r>
      <w:r w:rsidR="00520294">
        <w:t>9</w:t>
      </w:r>
      <w:r w:rsidR="00513A2E" w:rsidRPr="008246A8">
        <w:t xml:space="preserve">c), and </w:t>
      </w:r>
      <w:r w:rsidR="00BC55C9">
        <w:t xml:space="preserve">statistically significantly </w:t>
      </w:r>
      <w:r w:rsidR="00513A2E" w:rsidRPr="008246A8">
        <w:t>larger lower-to-</w:t>
      </w:r>
      <w:proofErr w:type="spellStart"/>
      <w:r w:rsidR="00513A2E" w:rsidRPr="008246A8">
        <w:t>midtropospheric</w:t>
      </w:r>
      <w:proofErr w:type="spellEnd"/>
      <w:r w:rsidR="00513A2E" w:rsidRPr="008246A8">
        <w:t xml:space="preserve"> EGR (F</w:t>
      </w:r>
      <w:r w:rsidR="00513A2E">
        <w:t xml:space="preserve">ig. </w:t>
      </w:r>
      <w:r w:rsidR="00520294">
        <w:t>9</w:t>
      </w:r>
      <w:r w:rsidR="00513A2E" w:rsidRPr="008246A8">
        <w:t xml:space="preserve">d), compared to </w:t>
      </w:r>
      <w:r w:rsidR="00513A2E">
        <w:t xml:space="preserve">ACs </w:t>
      </w:r>
      <w:r w:rsidR="00513A2E" w:rsidRPr="008246A8">
        <w:t>during high-skill periods.</w:t>
      </w:r>
      <w:r w:rsidR="00513A2E" w:rsidRPr="00513A2E">
        <w:t xml:space="preserve"> ACs during low-skill periods also tend to be located in regions characterized by </w:t>
      </w:r>
      <w:r w:rsidR="00846B8B">
        <w:t xml:space="preserve">statistically significantly </w:t>
      </w:r>
      <w:r w:rsidR="00513A2E" w:rsidRPr="00513A2E">
        <w:t xml:space="preserve">stronger upper-tropospheric divergence (Fig. </w:t>
      </w:r>
      <w:r w:rsidR="00520294">
        <w:t>10</w:t>
      </w:r>
      <w:r w:rsidR="00513A2E" w:rsidRPr="00513A2E">
        <w:t xml:space="preserve">a), </w:t>
      </w:r>
      <w:r w:rsidR="00BC55C9">
        <w:t xml:space="preserve">statistically significantly </w:t>
      </w:r>
      <w:r w:rsidR="00513A2E" w:rsidRPr="00513A2E">
        <w:t>stronger lower-to-</w:t>
      </w:r>
      <w:proofErr w:type="spellStart"/>
      <w:r w:rsidR="00513A2E" w:rsidRPr="00513A2E">
        <w:t>midtropospheric</w:t>
      </w:r>
      <w:proofErr w:type="spellEnd"/>
      <w:r w:rsidR="00513A2E" w:rsidRPr="00513A2E">
        <w:t xml:space="preserve"> ascent (Fig. </w:t>
      </w:r>
      <w:r w:rsidR="00520294">
        <w:t>10</w:t>
      </w:r>
      <w:r w:rsidR="00513A2E" w:rsidRPr="00513A2E">
        <w:t xml:space="preserve">b), </w:t>
      </w:r>
      <w:r w:rsidR="00BC55C9">
        <w:t xml:space="preserve">statistically significantly </w:t>
      </w:r>
      <w:r w:rsidR="00513A2E" w:rsidRPr="00513A2E">
        <w:t xml:space="preserve">stronger moisture transport (Fig. </w:t>
      </w:r>
      <w:r w:rsidR="00520294">
        <w:t>10</w:t>
      </w:r>
      <w:r w:rsidR="00513A2E" w:rsidRPr="00513A2E">
        <w:t xml:space="preserve">c), and </w:t>
      </w:r>
      <w:r w:rsidR="00BC55C9">
        <w:t xml:space="preserve">statistically significantly </w:t>
      </w:r>
      <w:r w:rsidR="00513A2E" w:rsidRPr="00513A2E">
        <w:t xml:space="preserve">larger latent heating (Fig. </w:t>
      </w:r>
      <w:r w:rsidR="00520294">
        <w:t>10</w:t>
      </w:r>
      <w:r w:rsidR="00513A2E" w:rsidRPr="00513A2E">
        <w:t>d) compared to ACs during high-skill periods.</w:t>
      </w:r>
      <w:r w:rsidR="00790A2B">
        <w:t xml:space="preserve"> W</w:t>
      </w:r>
      <w:r w:rsidR="00D12227">
        <w:t>hen compared to ACs during</w:t>
      </w:r>
      <w:r w:rsidR="008E4198">
        <w:t xml:space="preserve"> </w:t>
      </w:r>
      <w:r w:rsidR="00AA7A37">
        <w:rPr>
          <w:color w:val="202122"/>
          <w:shd w:val="clear" w:color="auto" w:fill="FFFFFF"/>
        </w:rPr>
        <w:t xml:space="preserve">the 2007–2017 </w:t>
      </w:r>
      <w:r w:rsidR="00AA7A37">
        <w:t>climatological period</w:t>
      </w:r>
      <w:r w:rsidR="00D12227">
        <w:t xml:space="preserve">, only for ACs during high-skill periods </w:t>
      </w:r>
      <w:r w:rsidR="003A0B93">
        <w:t>is</w:t>
      </w:r>
      <w:r w:rsidR="00D12227">
        <w:t xml:space="preserve"> there statistical significan</w:t>
      </w:r>
      <w:r w:rsidR="003A0B93">
        <w:t xml:space="preserve">ce </w:t>
      </w:r>
      <w:r w:rsidR="00D12227">
        <w:t>in the mean values of</w:t>
      </w:r>
      <w:r w:rsidR="001C0537">
        <w:t xml:space="preserve"> all quantities shown in Figs. </w:t>
      </w:r>
      <w:r w:rsidR="00520294">
        <w:t>9</w:t>
      </w:r>
      <w:r w:rsidR="001C0537">
        <w:t xml:space="preserve"> and </w:t>
      </w:r>
      <w:r w:rsidR="00520294">
        <w:t>10</w:t>
      </w:r>
      <w:r w:rsidR="00D12227">
        <w:t>.</w:t>
      </w:r>
      <w:r w:rsidR="0089353E">
        <w:t xml:space="preserve"> </w:t>
      </w:r>
      <w:r w:rsidR="00C80F30" w:rsidRPr="00C80F30">
        <w:t>It is expected that the intensity of ACs may influence the magnitude of baroclinic processes and latent heating in the vicinity of ACs, and vice versa, such that statistically significantly stronger and weaker ACs may tend to be located in regions of statistically significantly more and less vigorous baroclinic processes and latent heating, respectively. The finding of statistical significance in the mean value of intensity only for ACs during high-skill periods (Fig. 9a) is thus likely consistent with the finding of statistical significance in the mean values of all quantities shown in Figs. 9b–d and Figs. 10a–d only for ACs during high-skill periods.</w:t>
      </w:r>
      <w:r w:rsidR="001C0A53">
        <w:t xml:space="preserve"> </w:t>
      </w:r>
      <w:r w:rsidR="00513A2E">
        <w:t>Figures</w:t>
      </w:r>
      <w:r w:rsidR="00513A2E" w:rsidRPr="00513A2E">
        <w:t xml:space="preserve"> </w:t>
      </w:r>
      <w:r w:rsidR="00520294">
        <w:t>9</w:t>
      </w:r>
      <w:r w:rsidR="00513A2E" w:rsidRPr="00513A2E">
        <w:t xml:space="preserve">b–d and Figs. </w:t>
      </w:r>
      <w:r w:rsidR="00520294">
        <w:t>10</w:t>
      </w:r>
      <w:r w:rsidR="00513A2E" w:rsidRPr="00513A2E">
        <w:t xml:space="preserve">a–d </w:t>
      </w:r>
      <w:r w:rsidR="00513A2E">
        <w:t xml:space="preserve">suggest </w:t>
      </w:r>
      <w:r w:rsidR="00513A2E" w:rsidRPr="00513A2E">
        <w:t xml:space="preserve">that ACs tend to be located in </w:t>
      </w:r>
      <w:r w:rsidR="00062599">
        <w:t xml:space="preserve">environments </w:t>
      </w:r>
      <w:r w:rsidR="00513A2E" w:rsidRPr="00513A2E">
        <w:t xml:space="preserve">more conducive </w:t>
      </w:r>
      <w:r w:rsidR="004A42B2">
        <w:t>to</w:t>
      </w:r>
      <w:r w:rsidR="00513A2E" w:rsidRPr="00513A2E">
        <w:t xml:space="preserve"> development and intensification during low-skill periods compared to high-skill periods.</w:t>
      </w:r>
      <w:r w:rsidR="00513A2E">
        <w:t xml:space="preserve"> T</w:t>
      </w:r>
      <w:r w:rsidR="00513A2E" w:rsidRPr="00074782">
        <w:t xml:space="preserve">he </w:t>
      </w:r>
      <w:r w:rsidR="00D03A6C">
        <w:t xml:space="preserve">tendency for </w:t>
      </w:r>
      <w:r w:rsidR="00062599">
        <w:t xml:space="preserve">ACs to be located in </w:t>
      </w:r>
      <w:r w:rsidR="00513A2E" w:rsidRPr="00074782">
        <w:t xml:space="preserve">environments </w:t>
      </w:r>
      <w:r w:rsidR="00062599" w:rsidRPr="00074782">
        <w:t xml:space="preserve">more </w:t>
      </w:r>
      <w:r w:rsidR="00062599">
        <w:t>conducive</w:t>
      </w:r>
      <w:r w:rsidR="00062599" w:rsidRPr="00074782">
        <w:t xml:space="preserve"> </w:t>
      </w:r>
      <w:r w:rsidR="00062599">
        <w:t>to</w:t>
      </w:r>
      <w:r w:rsidR="00513A2E" w:rsidRPr="00074782">
        <w:t xml:space="preserve"> development and intensification during low-skill periods compared </w:t>
      </w:r>
      <w:r w:rsidR="00513A2E">
        <w:t>to</w:t>
      </w:r>
      <w:r w:rsidR="0048024C">
        <w:t xml:space="preserve"> </w:t>
      </w:r>
      <w:r w:rsidR="00513A2E" w:rsidRPr="00074782">
        <w:t xml:space="preserve">high-skill periods likely </w:t>
      </w:r>
      <w:r w:rsidR="00D03A6C">
        <w:t>is</w:t>
      </w:r>
      <w:r w:rsidR="00513A2E">
        <w:t xml:space="preserve"> consistent with</w:t>
      </w:r>
      <w:r w:rsidR="00513A2E" w:rsidRPr="00074782">
        <w:t xml:space="preserve"> </w:t>
      </w:r>
      <w:r w:rsidR="00513A2E">
        <w:t xml:space="preserve">the tendency for </w:t>
      </w:r>
      <w:r w:rsidR="00513A2E" w:rsidRPr="00074782">
        <w:t>ACs to be statistically significantly stronger</w:t>
      </w:r>
      <w:r w:rsidR="003945EC">
        <w:t xml:space="preserve"> during low-skill periods</w:t>
      </w:r>
      <w:r w:rsidR="00513A2E" w:rsidRPr="00074782">
        <w:t xml:space="preserve"> compared to high-skill periods</w:t>
      </w:r>
      <w:r w:rsidR="004A42B2">
        <w:t xml:space="preserve"> (Fig. </w:t>
      </w:r>
      <w:r w:rsidR="00520294">
        <w:t>9</w:t>
      </w:r>
      <w:r w:rsidR="004A42B2">
        <w:t>a)</w:t>
      </w:r>
      <w:r w:rsidR="00513A2E">
        <w:t xml:space="preserve">. </w:t>
      </w:r>
    </w:p>
    <w:p w14:paraId="29C1D4A4" w14:textId="77777777" w:rsidR="003D1DD8" w:rsidRDefault="003D1DD8" w:rsidP="00632162">
      <w:pPr>
        <w:pStyle w:val="ParagraphText"/>
      </w:pPr>
    </w:p>
    <w:p w14:paraId="712942A6" w14:textId="77777777" w:rsidR="003D1DD8" w:rsidRDefault="003D1DD8" w:rsidP="00632162">
      <w:pPr>
        <w:pStyle w:val="ParagraphText"/>
      </w:pPr>
    </w:p>
    <w:p w14:paraId="33EA9833" w14:textId="77777777" w:rsidR="003D1DD8" w:rsidRDefault="003D1DD8" w:rsidP="00632162">
      <w:pPr>
        <w:pStyle w:val="ParagraphText"/>
      </w:pPr>
    </w:p>
    <w:p w14:paraId="3B61D6E9" w14:textId="77777777" w:rsidR="003D1DD8" w:rsidRDefault="003D1DD8" w:rsidP="00632162">
      <w:pPr>
        <w:pStyle w:val="ParagraphText"/>
      </w:pPr>
    </w:p>
    <w:p w14:paraId="44CCC5E6" w14:textId="77777777" w:rsidR="003D1DD8" w:rsidRDefault="003D1DD8" w:rsidP="00632162">
      <w:pPr>
        <w:pStyle w:val="ParagraphText"/>
      </w:pPr>
    </w:p>
    <w:p w14:paraId="08C12421" w14:textId="77777777" w:rsidR="003D1DD8" w:rsidRDefault="003D1DD8" w:rsidP="00632162">
      <w:pPr>
        <w:pStyle w:val="ParagraphText"/>
      </w:pPr>
    </w:p>
    <w:p w14:paraId="47547B7A" w14:textId="0D1F33EB" w:rsidR="003D1DD8" w:rsidRDefault="002058CE" w:rsidP="00921D69">
      <w:pPr>
        <w:pStyle w:val="ParagraphText"/>
        <w:ind w:firstLine="0"/>
        <w:jc w:val="center"/>
      </w:pPr>
      <w:r>
        <w:rPr>
          <w:noProof/>
        </w:rPr>
        <w:lastRenderedPageBreak/>
        <w:drawing>
          <wp:inline distT="0" distB="0" distL="0" distR="0" wp14:anchorId="1CE7BF65" wp14:editId="73A68516">
            <wp:extent cx="5731510" cy="525145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6"/>
                    <a:stretch>
                      <a:fillRect/>
                    </a:stretch>
                  </pic:blipFill>
                  <pic:spPr>
                    <a:xfrm>
                      <a:off x="0" y="0"/>
                      <a:ext cx="5731510" cy="5251450"/>
                    </a:xfrm>
                    <a:prstGeom prst="rect">
                      <a:avLst/>
                    </a:prstGeom>
                  </pic:spPr>
                </pic:pic>
              </a:graphicData>
            </a:graphic>
          </wp:inline>
        </w:drawing>
      </w:r>
    </w:p>
    <w:p w14:paraId="55E88821" w14:textId="78BC5652" w:rsidR="00921D69" w:rsidRPr="00921D69" w:rsidRDefault="00921D69" w:rsidP="00921D69">
      <w:pPr>
        <w:tabs>
          <w:tab w:val="left" w:pos="1993"/>
        </w:tabs>
        <w:spacing w:before="0" w:after="0" w:line="240" w:lineRule="auto"/>
        <w:ind w:firstLine="0"/>
      </w:pPr>
      <w:r w:rsidRPr="00921D69">
        <w:t xml:space="preserve">Fig. </w:t>
      </w:r>
      <w:r w:rsidR="004F5FB4">
        <w:t>9</w:t>
      </w:r>
      <w:r w:rsidRPr="00921D69">
        <w:t>. Distributions of the most extreme value, as defined in section 2c, of quantities characterizing ACs during the 2007–2017 climatological period (gray), ACs during low-skill periods (red), and ACs during high-skill periods (blue) when located within the Arctic during the respective periods. The selected quantities are (a) minimum SLP (</w:t>
      </w:r>
      <w:proofErr w:type="spellStart"/>
      <w:r w:rsidRPr="00921D69">
        <w:t>hPa</w:t>
      </w:r>
      <w:proofErr w:type="spellEnd"/>
      <w:r w:rsidRPr="00921D69">
        <w:t>), (b) area-averaged 850-hPa wind speed (m s</w:t>
      </w:r>
      <w:r w:rsidRPr="00921D69">
        <w:rPr>
          <w:vertAlign w:val="superscript"/>
        </w:rPr>
        <w:t>−1</w:t>
      </w:r>
      <w:r w:rsidRPr="00921D69">
        <w:t xml:space="preserve">), (c) area-averaged 850-hPa </w:t>
      </w:r>
      <w:r w:rsidRPr="00921D69">
        <w:rPr>
          <w:i/>
        </w:rPr>
        <w:t>θ</w:t>
      </w:r>
      <w:r w:rsidRPr="00921D69">
        <w:t xml:space="preserve"> gradient magnitude [K (100 </w:t>
      </w:r>
      <w:proofErr w:type="gramStart"/>
      <w:r w:rsidRPr="00921D69">
        <w:t>km)</w:t>
      </w:r>
      <w:r w:rsidRPr="00921D69">
        <w:rPr>
          <w:vertAlign w:val="superscript"/>
        </w:rPr>
        <w:t>−</w:t>
      </w:r>
      <w:proofErr w:type="gramEnd"/>
      <w:r w:rsidRPr="00921D69">
        <w:rPr>
          <w:vertAlign w:val="superscript"/>
        </w:rPr>
        <w:t>1</w:t>
      </w:r>
      <w:r w:rsidRPr="00921D69">
        <w:t>], and (d) area-averaged 850–600-hPa EGR (day</w:t>
      </w:r>
      <w:r w:rsidRPr="00921D69">
        <w:rPr>
          <w:vertAlign w:val="superscript"/>
        </w:rPr>
        <w:t>−1</w:t>
      </w:r>
      <w:r w:rsidRPr="00921D69">
        <w:t>). The quantities in (b)–(d) are area-averaged within a 1000-km radius from the centers of the ACs. Dots indicate the mean values, boxes indicate the IQR, and whiskers extend to the 5th and 95th percentiles. Gray, red, and blue stars indicate the minimum and maximum values of the distributions. Yellow stars indicate statistical significance at the 95% confidence level of the mean values of the quantities for ACs during low-skill periods and for ACs during high-skill periods with respect to the mean values of the quantities for ACs during the 2007–2017 climatological period. Purple stars indicate statistical significance at the 95% confidence level between the mean values of the quantities for ACs during low-skill periods and the mean values of the quantities for ACs during high-skill periods.</w:t>
      </w:r>
    </w:p>
    <w:p w14:paraId="1DE99903" w14:textId="77777777" w:rsidR="003D1DD8" w:rsidRDefault="003D1DD8" w:rsidP="00921D69">
      <w:pPr>
        <w:pStyle w:val="ParagraphText"/>
        <w:ind w:firstLine="0"/>
      </w:pPr>
    </w:p>
    <w:p w14:paraId="429E5F89" w14:textId="77777777" w:rsidR="00921D69" w:rsidRDefault="00921D69" w:rsidP="00921D69">
      <w:pPr>
        <w:pStyle w:val="ParagraphText"/>
        <w:ind w:firstLine="0"/>
      </w:pPr>
    </w:p>
    <w:p w14:paraId="3D806ECB" w14:textId="6C488990" w:rsidR="00921D69" w:rsidRDefault="002058CE" w:rsidP="00260EE9">
      <w:pPr>
        <w:pStyle w:val="ParagraphText"/>
        <w:ind w:firstLine="0"/>
        <w:jc w:val="center"/>
      </w:pPr>
      <w:r>
        <w:rPr>
          <w:noProof/>
        </w:rPr>
        <w:lastRenderedPageBreak/>
        <w:drawing>
          <wp:inline distT="0" distB="0" distL="0" distR="0" wp14:anchorId="6A51E4DE" wp14:editId="1DA06EB3">
            <wp:extent cx="5731510" cy="52514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7"/>
                    <a:stretch>
                      <a:fillRect/>
                    </a:stretch>
                  </pic:blipFill>
                  <pic:spPr>
                    <a:xfrm>
                      <a:off x="0" y="0"/>
                      <a:ext cx="5731510" cy="5251450"/>
                    </a:xfrm>
                    <a:prstGeom prst="rect">
                      <a:avLst/>
                    </a:prstGeom>
                  </pic:spPr>
                </pic:pic>
              </a:graphicData>
            </a:graphic>
          </wp:inline>
        </w:drawing>
      </w:r>
    </w:p>
    <w:p w14:paraId="230A9565" w14:textId="3EC8FE9B" w:rsidR="00260EE9" w:rsidRPr="00260EE9" w:rsidRDefault="00260EE9" w:rsidP="00260EE9">
      <w:pPr>
        <w:tabs>
          <w:tab w:val="left" w:pos="1993"/>
        </w:tabs>
        <w:spacing w:before="0" w:after="0" w:line="240" w:lineRule="auto"/>
        <w:ind w:firstLine="0"/>
      </w:pPr>
      <w:r w:rsidRPr="00260EE9">
        <w:t xml:space="preserve">Fig. </w:t>
      </w:r>
      <w:r w:rsidR="004F5FB4">
        <w:t>10</w:t>
      </w:r>
      <w:r w:rsidRPr="00260EE9">
        <w:t xml:space="preserve">. As in Fig. </w:t>
      </w:r>
      <w:r w:rsidR="004F5FB4">
        <w:t>9</w:t>
      </w:r>
      <w:r w:rsidRPr="00260EE9">
        <w:t>, but for (a) area-averaged positive values of 350–250-hPa divergence (10</w:t>
      </w:r>
      <w:r w:rsidRPr="00260EE9">
        <w:rPr>
          <w:vertAlign w:val="superscript"/>
        </w:rPr>
        <w:t>−6</w:t>
      </w:r>
      <w:r w:rsidRPr="00260EE9">
        <w:t xml:space="preserve"> s</w:t>
      </w:r>
      <w:r w:rsidRPr="00260EE9">
        <w:rPr>
          <w:vertAlign w:val="superscript"/>
        </w:rPr>
        <w:t>−1</w:t>
      </w:r>
      <w:r w:rsidRPr="00260EE9">
        <w:t xml:space="preserve">), (b) area-averaged negative values of 800–600-hPa </w:t>
      </w:r>
      <w:r w:rsidRPr="00260EE9">
        <w:rPr>
          <w:i/>
        </w:rPr>
        <w:t>ω</w:t>
      </w:r>
      <w:r w:rsidRPr="00260EE9">
        <w:t xml:space="preserve"> (10</w:t>
      </w:r>
      <w:r w:rsidRPr="00260EE9">
        <w:rPr>
          <w:vertAlign w:val="superscript"/>
        </w:rPr>
        <w:t>−3</w:t>
      </w:r>
      <w:r w:rsidRPr="00260EE9">
        <w:t xml:space="preserve"> </w:t>
      </w:r>
      <w:proofErr w:type="spellStart"/>
      <w:r w:rsidRPr="00260EE9">
        <w:t>hPa</w:t>
      </w:r>
      <w:proofErr w:type="spellEnd"/>
      <w:r w:rsidRPr="00260EE9">
        <w:t xml:space="preserve"> s</w:t>
      </w:r>
      <w:r w:rsidRPr="00260EE9">
        <w:rPr>
          <w:vertAlign w:val="superscript"/>
        </w:rPr>
        <w:t>−1</w:t>
      </w:r>
      <w:r w:rsidRPr="00260EE9">
        <w:t>), (c) area-averaged 1000–300-hPa IVT (kg m</w:t>
      </w:r>
      <w:r w:rsidRPr="00260EE9">
        <w:rPr>
          <w:vertAlign w:val="superscript"/>
        </w:rPr>
        <w:t>−1</w:t>
      </w:r>
      <w:r w:rsidRPr="00260EE9">
        <w:t xml:space="preserve"> s</w:t>
      </w:r>
      <w:r w:rsidRPr="00260EE9">
        <w:rPr>
          <w:vertAlign w:val="superscript"/>
        </w:rPr>
        <w:t>−1</w:t>
      </w:r>
      <w:r w:rsidRPr="00260EE9">
        <w:t>), and (d) area-averaged positive values of 1000–300-hPa IMFC (W m</w:t>
      </w:r>
      <w:r w:rsidRPr="00260EE9">
        <w:rPr>
          <w:vertAlign w:val="superscript"/>
        </w:rPr>
        <w:t>−2</w:t>
      </w:r>
      <w:r w:rsidRPr="00260EE9">
        <w:t>). The quantities in (a)–(d) are area-averaged within a 1000-km radius from the centers of the ACs.</w:t>
      </w:r>
    </w:p>
    <w:p w14:paraId="6D6D6545" w14:textId="77777777" w:rsidR="003D1DD8" w:rsidRDefault="003D1DD8" w:rsidP="00260EE9">
      <w:pPr>
        <w:pStyle w:val="ParagraphText"/>
        <w:ind w:firstLine="0"/>
      </w:pPr>
    </w:p>
    <w:p w14:paraId="560F5C85" w14:textId="3EC1540A" w:rsidR="00F52648" w:rsidRDefault="00F52648" w:rsidP="00F52648">
      <w:pPr>
        <w:pStyle w:val="H2"/>
        <w:rPr>
          <w:szCs w:val="24"/>
        </w:rPr>
      </w:pPr>
      <w:r>
        <w:rPr>
          <w:szCs w:val="24"/>
        </w:rPr>
        <w:t>c</w:t>
      </w:r>
      <w:r w:rsidRPr="00B36F8E">
        <w:rPr>
          <w:szCs w:val="24"/>
        </w:rPr>
        <w:t xml:space="preserve">. </w:t>
      </w:r>
      <w:r w:rsidRPr="00F52648">
        <w:rPr>
          <w:szCs w:val="24"/>
        </w:rPr>
        <w:t>Forecast skill of ACs</w:t>
      </w:r>
    </w:p>
    <w:p w14:paraId="1F39D8AB" w14:textId="04332D34" w:rsidR="008C2C1B" w:rsidRPr="008C2C1B" w:rsidRDefault="008C2C1B" w:rsidP="008C2C1B">
      <w:pPr>
        <w:pStyle w:val="H2"/>
        <w:ind w:firstLine="360"/>
        <w:rPr>
          <w:i w:val="0"/>
          <w:szCs w:val="24"/>
        </w:rPr>
      </w:pPr>
      <w:r w:rsidRPr="008C2C1B">
        <w:rPr>
          <w:i w:val="0"/>
        </w:rPr>
        <w:t xml:space="preserve">As discussed in section 1, forecast errors related to baroclinic processes and latent heating can contribute to forecast errors in midlatitude cyclones. Zhu and Thorpe (2006) state that forecast errors can grow exponentially through baroclinic processes, and Zhang et al. (2003) show in simulations of a midlatitude cyclone along the East Coast of the U.S. that setting latent heat of condensation to zero greatly reduces the growth of forecast errors. It is expected that the </w:t>
      </w:r>
      <w:r w:rsidR="00403C5C">
        <w:rPr>
          <w:i w:val="0"/>
        </w:rPr>
        <w:t>stronger</w:t>
      </w:r>
      <w:r w:rsidRPr="008C2C1B">
        <w:rPr>
          <w:i w:val="0"/>
        </w:rPr>
        <w:t xml:space="preserve"> lower-tropospheric baroclinicity, </w:t>
      </w:r>
      <w:r w:rsidR="00403C5C">
        <w:rPr>
          <w:i w:val="0"/>
        </w:rPr>
        <w:t>larger</w:t>
      </w:r>
      <w:r w:rsidRPr="008C2C1B">
        <w:rPr>
          <w:i w:val="0"/>
        </w:rPr>
        <w:t xml:space="preserve"> low</w:t>
      </w:r>
      <w:r w:rsidR="00403C5C">
        <w:rPr>
          <w:i w:val="0"/>
        </w:rPr>
        <w:t>er-to-</w:t>
      </w:r>
      <w:proofErr w:type="spellStart"/>
      <w:r w:rsidR="00403C5C">
        <w:rPr>
          <w:i w:val="0"/>
        </w:rPr>
        <w:t>midtropospheric</w:t>
      </w:r>
      <w:proofErr w:type="spellEnd"/>
      <w:r w:rsidR="00403C5C">
        <w:rPr>
          <w:i w:val="0"/>
        </w:rPr>
        <w:t xml:space="preserve"> EGR, and </w:t>
      </w:r>
      <w:r w:rsidR="00403C5C">
        <w:rPr>
          <w:i w:val="0"/>
        </w:rPr>
        <w:lastRenderedPageBreak/>
        <w:t>larger</w:t>
      </w:r>
      <w:r w:rsidRPr="008C2C1B">
        <w:rPr>
          <w:i w:val="0"/>
        </w:rPr>
        <w:t xml:space="preserve"> latent heating for ACs during low-skill periods compared to ACs during high-skill periods</w:t>
      </w:r>
      <w:r w:rsidR="005D7408">
        <w:rPr>
          <w:i w:val="0"/>
        </w:rPr>
        <w:t xml:space="preserve"> (Figs. </w:t>
      </w:r>
      <w:r w:rsidR="00520294">
        <w:rPr>
          <w:i w:val="0"/>
        </w:rPr>
        <w:t>9</w:t>
      </w:r>
      <w:proofErr w:type="gramStart"/>
      <w:r w:rsidR="005D7408">
        <w:rPr>
          <w:i w:val="0"/>
        </w:rPr>
        <w:t>c,d</w:t>
      </w:r>
      <w:proofErr w:type="gramEnd"/>
      <w:r w:rsidR="009D7DF0">
        <w:rPr>
          <w:i w:val="0"/>
        </w:rPr>
        <w:t xml:space="preserve"> </w:t>
      </w:r>
      <w:r w:rsidR="005D7408">
        <w:rPr>
          <w:i w:val="0"/>
        </w:rPr>
        <w:t xml:space="preserve">and Fig. </w:t>
      </w:r>
      <w:r w:rsidR="00520294">
        <w:rPr>
          <w:i w:val="0"/>
        </w:rPr>
        <w:t>10</w:t>
      </w:r>
      <w:r w:rsidR="005D7408">
        <w:rPr>
          <w:i w:val="0"/>
        </w:rPr>
        <w:t>d; discussed</w:t>
      </w:r>
      <w:r w:rsidR="009D7DF0">
        <w:rPr>
          <w:i w:val="0"/>
        </w:rPr>
        <w:t xml:space="preserve"> in section 3b</w:t>
      </w:r>
      <w:r w:rsidR="005D7408">
        <w:rPr>
          <w:i w:val="0"/>
        </w:rPr>
        <w:t>)</w:t>
      </w:r>
      <w:r w:rsidRPr="008C2C1B">
        <w:rPr>
          <w:i w:val="0"/>
        </w:rPr>
        <w:t xml:space="preserve"> may be associated with greater forecast errors that contribute to lower forecast skill of the intensity and position of ACs during low-skill periods compared to ACs during high-skill periods. </w:t>
      </w:r>
    </w:p>
    <w:p w14:paraId="312E0CCD" w14:textId="44372811" w:rsidR="00F52648" w:rsidRDefault="0048024C" w:rsidP="006B14FA">
      <w:pPr>
        <w:pStyle w:val="ParagraphText"/>
      </w:pPr>
      <w:r>
        <w:t>The f</w:t>
      </w:r>
      <w:r w:rsidR="00B33311" w:rsidRPr="00074782">
        <w:t>orecast skill of the intensity</w:t>
      </w:r>
      <w:r w:rsidR="009B51B0">
        <w:t xml:space="preserve"> (Fig. 1</w:t>
      </w:r>
      <w:r w:rsidR="00F15E14">
        <w:t>1</w:t>
      </w:r>
      <w:r w:rsidR="009B51B0">
        <w:t>a)</w:t>
      </w:r>
      <w:r w:rsidR="00B33311" w:rsidRPr="00074782">
        <w:t xml:space="preserve"> and position</w:t>
      </w:r>
      <w:r w:rsidR="009B51B0">
        <w:t xml:space="preserve"> (Fig. 1</w:t>
      </w:r>
      <w:r w:rsidR="00F15E14">
        <w:t>1</w:t>
      </w:r>
      <w:r w:rsidR="009B51B0">
        <w:t>b)</w:t>
      </w:r>
      <w:r w:rsidR="00B33311" w:rsidRPr="00074782">
        <w:t xml:space="preserve"> of ACs during </w:t>
      </w:r>
      <w:r w:rsidR="00AA7A37">
        <w:rPr>
          <w:color w:val="202122"/>
          <w:shd w:val="clear" w:color="auto" w:fill="FFFFFF"/>
        </w:rPr>
        <w:t xml:space="preserve">the 2007–2017 </w:t>
      </w:r>
      <w:r w:rsidR="00AA7A37">
        <w:t>climatological period</w:t>
      </w:r>
      <w:r w:rsidR="00B33311" w:rsidRPr="00074782">
        <w:t xml:space="preserve">, ACs during low-skill periods, and ACs during high-skill periods are </w:t>
      </w:r>
      <w:r w:rsidR="00B33311">
        <w:t xml:space="preserve">now </w:t>
      </w:r>
      <w:r w:rsidR="00B33311" w:rsidRPr="00074782">
        <w:t>examined for forecast lead times of 1–7 days, every 1 day, relative to the verification ti</w:t>
      </w:r>
      <w:r w:rsidR="00A232FD">
        <w:t>me of the ACs (</w:t>
      </w:r>
      <w:r w:rsidR="001C0537">
        <w:t>see section 2d</w:t>
      </w:r>
      <w:r w:rsidR="00B33311" w:rsidRPr="00074782">
        <w:t xml:space="preserve"> for defi</w:t>
      </w:r>
      <w:r w:rsidR="00A232FD">
        <w:t>nition of the verification time)</w:t>
      </w:r>
      <w:r w:rsidR="00B33311" w:rsidRPr="00074782">
        <w:t>.</w:t>
      </w:r>
      <w:r w:rsidR="00B33311" w:rsidRPr="00B33311">
        <w:t xml:space="preserve"> </w:t>
      </w:r>
      <w:r w:rsidR="00925B1A">
        <w:t>Refer to Table 2 for the number of ACs during</w:t>
      </w:r>
      <w:r w:rsidR="008E4198">
        <w:t xml:space="preserve"> </w:t>
      </w:r>
      <w:r w:rsidR="00AA7A37">
        <w:rPr>
          <w:color w:val="202122"/>
          <w:shd w:val="clear" w:color="auto" w:fill="FFFFFF"/>
        </w:rPr>
        <w:t xml:space="preserve">the 2007–2017 </w:t>
      </w:r>
      <w:r w:rsidR="00AA7A37">
        <w:t>climatological period</w:t>
      </w:r>
      <w:r w:rsidR="00925B1A">
        <w:t>, ACs during low-skill periods, and ACs during high-skill periods</w:t>
      </w:r>
      <w:r w:rsidR="0062646A">
        <w:t xml:space="preserve"> for the</w:t>
      </w:r>
      <w:r w:rsidR="00E55B27">
        <w:t xml:space="preserve"> aforementioned</w:t>
      </w:r>
      <w:r w:rsidR="0062646A">
        <w:t xml:space="preserve"> forecast lead times</w:t>
      </w:r>
      <w:r w:rsidR="00925B1A">
        <w:t xml:space="preserve">. </w:t>
      </w:r>
      <w:r w:rsidR="00D63B52">
        <w:t>The i</w:t>
      </w:r>
      <w:r w:rsidR="00B33311" w:rsidRPr="00074782">
        <w:t>ntensity RMSE</w:t>
      </w:r>
      <w:r w:rsidR="00B4124C">
        <w:t xml:space="preserve"> (Fig. 1</w:t>
      </w:r>
      <w:r w:rsidR="00F15E14">
        <w:t>1</w:t>
      </w:r>
      <w:r w:rsidR="00B4124C">
        <w:t>a) and the position RMSE (Fig. 1</w:t>
      </w:r>
      <w:r w:rsidR="00F15E14">
        <w:t>1</w:t>
      </w:r>
      <w:r w:rsidR="00B4124C">
        <w:t>b)</w:t>
      </w:r>
      <w:r w:rsidR="00B33311" w:rsidRPr="00074782">
        <w:t xml:space="preserve"> of ACs during</w:t>
      </w:r>
      <w:r w:rsidR="008E4198">
        <w:t xml:space="preserve"> </w:t>
      </w:r>
      <w:r w:rsidR="00AA7A37">
        <w:rPr>
          <w:color w:val="202122"/>
          <w:shd w:val="clear" w:color="auto" w:fill="FFFFFF"/>
        </w:rPr>
        <w:t xml:space="preserve">the 2007–2017 </w:t>
      </w:r>
      <w:r w:rsidR="00AA7A37">
        <w:t>climatological period</w:t>
      </w:r>
      <w:r w:rsidR="00B33311" w:rsidRPr="00074782">
        <w:t>, ACs during low-skill periods, and ACs during high-skill periods tend to increase with increas</w:t>
      </w:r>
      <w:r w:rsidR="00925B1A">
        <w:t>ing forecast lead time</w:t>
      </w:r>
      <w:r w:rsidR="00B33311" w:rsidRPr="00074782">
        <w:t>. For example, the mean intensity RMSE of ACs during</w:t>
      </w:r>
      <w:r w:rsidR="008E4198">
        <w:t xml:space="preserve"> </w:t>
      </w:r>
      <w:r w:rsidR="00AA7A37">
        <w:rPr>
          <w:color w:val="202122"/>
          <w:shd w:val="clear" w:color="auto" w:fill="FFFFFF"/>
        </w:rPr>
        <w:t xml:space="preserve">the 2007–2017 </w:t>
      </w:r>
      <w:r w:rsidR="00AA7A37">
        <w:t xml:space="preserve">climatological period </w:t>
      </w:r>
      <w:r w:rsidR="00B33311" w:rsidRPr="00074782">
        <w:t>increases from approximately 2.</w:t>
      </w:r>
      <w:r w:rsidR="005752D3">
        <w:t>2</w:t>
      </w:r>
      <w:r w:rsidR="00B33311" w:rsidRPr="00074782">
        <w:t xml:space="preserve"> </w:t>
      </w:r>
      <w:proofErr w:type="spellStart"/>
      <w:r w:rsidR="00B33311" w:rsidRPr="00074782">
        <w:t>hPa</w:t>
      </w:r>
      <w:proofErr w:type="spellEnd"/>
      <w:r w:rsidR="00B33311" w:rsidRPr="00074782">
        <w:t xml:space="preserve"> for the 1-day lead time to approximately 7.</w:t>
      </w:r>
      <w:r w:rsidR="005752D3">
        <w:t>0</w:t>
      </w:r>
      <w:r w:rsidR="00B33311" w:rsidRPr="00074782">
        <w:t xml:space="preserve"> </w:t>
      </w:r>
      <w:proofErr w:type="spellStart"/>
      <w:r w:rsidR="00B33311" w:rsidRPr="00074782">
        <w:t>hPa</w:t>
      </w:r>
      <w:proofErr w:type="spellEnd"/>
      <w:r w:rsidR="00B33311" w:rsidRPr="00074782">
        <w:t xml:space="preserve"> for the 7-day lead time</w:t>
      </w:r>
      <w:r w:rsidR="00B4124C">
        <w:t>, and</w:t>
      </w:r>
      <w:r w:rsidR="00925B1A" w:rsidRPr="00925B1A">
        <w:t xml:space="preserve"> </w:t>
      </w:r>
      <w:r w:rsidR="00925B1A" w:rsidRPr="00074782">
        <w:t>the mean position RMSE of ACs during</w:t>
      </w:r>
      <w:r w:rsidR="008E4198">
        <w:t xml:space="preserve"> </w:t>
      </w:r>
      <w:r w:rsidR="00AA7A37">
        <w:rPr>
          <w:color w:val="202122"/>
          <w:shd w:val="clear" w:color="auto" w:fill="FFFFFF"/>
        </w:rPr>
        <w:t xml:space="preserve">the 2007–2017 </w:t>
      </w:r>
      <w:r w:rsidR="00AA7A37">
        <w:t xml:space="preserve">climatological period </w:t>
      </w:r>
      <w:r w:rsidR="00925B1A" w:rsidRPr="00074782">
        <w:t>increases from approximately 2</w:t>
      </w:r>
      <w:r w:rsidR="00147C30">
        <w:t>08</w:t>
      </w:r>
      <w:r w:rsidR="00925B1A" w:rsidRPr="00074782">
        <w:t xml:space="preserve"> km for the 1-day lead time to approximately 8</w:t>
      </w:r>
      <w:r w:rsidR="00147C30">
        <w:t>09</w:t>
      </w:r>
      <w:r w:rsidR="00925B1A" w:rsidRPr="00074782">
        <w:t xml:space="preserve"> km for the 7-day lead time. </w:t>
      </w:r>
    </w:p>
    <w:p w14:paraId="06C3EE1E" w14:textId="77777777" w:rsidR="006C5625" w:rsidRDefault="006C5625" w:rsidP="006B14FA">
      <w:pPr>
        <w:pStyle w:val="ParagraphText"/>
      </w:pPr>
    </w:p>
    <w:p w14:paraId="326B4FBD" w14:textId="77777777" w:rsidR="006C5625" w:rsidRDefault="006C5625" w:rsidP="006B14FA">
      <w:pPr>
        <w:pStyle w:val="ParagraphText"/>
      </w:pPr>
    </w:p>
    <w:p w14:paraId="1D578AE1" w14:textId="77777777" w:rsidR="006C5625" w:rsidRDefault="006C5625" w:rsidP="006B14FA">
      <w:pPr>
        <w:pStyle w:val="ParagraphText"/>
      </w:pPr>
    </w:p>
    <w:p w14:paraId="2CCB5B29" w14:textId="77777777" w:rsidR="006C5625" w:rsidRDefault="006C5625" w:rsidP="006B14FA">
      <w:pPr>
        <w:pStyle w:val="ParagraphText"/>
      </w:pPr>
    </w:p>
    <w:p w14:paraId="00E1E259" w14:textId="77777777" w:rsidR="006C5625" w:rsidRDefault="006C5625" w:rsidP="006B14FA">
      <w:pPr>
        <w:pStyle w:val="ParagraphText"/>
      </w:pPr>
    </w:p>
    <w:p w14:paraId="3392C64F" w14:textId="77777777" w:rsidR="006C5625" w:rsidRDefault="006C5625" w:rsidP="006B14FA">
      <w:pPr>
        <w:pStyle w:val="ParagraphText"/>
      </w:pPr>
    </w:p>
    <w:p w14:paraId="717E0865" w14:textId="77777777" w:rsidR="006C5625" w:rsidRDefault="006C5625" w:rsidP="006B14FA">
      <w:pPr>
        <w:pStyle w:val="ParagraphText"/>
      </w:pPr>
    </w:p>
    <w:p w14:paraId="56139A14" w14:textId="77777777" w:rsidR="006C5625" w:rsidRDefault="006C5625" w:rsidP="006B14FA">
      <w:pPr>
        <w:pStyle w:val="ParagraphText"/>
      </w:pPr>
    </w:p>
    <w:p w14:paraId="2A82B9FC" w14:textId="77777777" w:rsidR="006C5625" w:rsidRDefault="006C5625" w:rsidP="006B14FA">
      <w:pPr>
        <w:pStyle w:val="ParagraphText"/>
      </w:pPr>
    </w:p>
    <w:p w14:paraId="5FF7DB38" w14:textId="77777777" w:rsidR="006C5625" w:rsidRDefault="006C5625" w:rsidP="006B14FA">
      <w:pPr>
        <w:pStyle w:val="ParagraphText"/>
      </w:pPr>
    </w:p>
    <w:p w14:paraId="73AAB65D" w14:textId="7AC970B4" w:rsidR="006C5625" w:rsidRDefault="002058CE" w:rsidP="006C5625">
      <w:pPr>
        <w:pStyle w:val="ParagraphText"/>
        <w:ind w:firstLine="0"/>
        <w:jc w:val="center"/>
      </w:pPr>
      <w:r>
        <w:rPr>
          <w:noProof/>
        </w:rPr>
        <w:lastRenderedPageBreak/>
        <w:drawing>
          <wp:inline distT="0" distB="0" distL="0" distR="0" wp14:anchorId="2F08DC86" wp14:editId="167E72C3">
            <wp:extent cx="5731510" cy="64839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8"/>
                    <a:stretch>
                      <a:fillRect/>
                    </a:stretch>
                  </pic:blipFill>
                  <pic:spPr>
                    <a:xfrm>
                      <a:off x="0" y="0"/>
                      <a:ext cx="5731510" cy="6483985"/>
                    </a:xfrm>
                    <a:prstGeom prst="rect">
                      <a:avLst/>
                    </a:prstGeom>
                  </pic:spPr>
                </pic:pic>
              </a:graphicData>
            </a:graphic>
          </wp:inline>
        </w:drawing>
      </w:r>
    </w:p>
    <w:p w14:paraId="52C0E14F" w14:textId="7F4126FB" w:rsidR="006C5625" w:rsidRPr="006C5625" w:rsidRDefault="006C5625" w:rsidP="006C5625">
      <w:pPr>
        <w:tabs>
          <w:tab w:val="left" w:pos="1993"/>
        </w:tabs>
        <w:spacing w:before="0" w:after="0" w:line="240" w:lineRule="auto"/>
        <w:ind w:firstLine="0"/>
      </w:pPr>
      <w:r w:rsidRPr="006C5625">
        <w:t>Fig. 1</w:t>
      </w:r>
      <w:r w:rsidR="004F5FB4">
        <w:t>1</w:t>
      </w:r>
      <w:r w:rsidRPr="006C5625">
        <w:t>. Distributions of (a) intensity RMSE (</w:t>
      </w:r>
      <w:proofErr w:type="spellStart"/>
      <w:r w:rsidRPr="006C5625">
        <w:t>hPa</w:t>
      </w:r>
      <w:proofErr w:type="spellEnd"/>
      <w:r w:rsidRPr="006C5625">
        <w:t xml:space="preserve">) and (b) position RMSE (km) of ACs during the 2007–2017 climatological period (gray), ACs during low-skill periods (red), and ACs during high-skill periods (blue) for which forecast skill can be evaluated at forecast lead times of 1–7 days, every 1 day. Dots indicate the mean values, boxes indicate the IQR, and whiskers extend to the 5th and 95th percentiles. </w:t>
      </w:r>
      <w:r w:rsidR="00DF5F83" w:rsidRPr="00DF5F83">
        <w:t xml:space="preserve">Yellow stars in (a) indicate statistical significance at the 95% confidence level of the mean value of intensity RMSE for ACs during low-skill periods and ACs during high-skill periods with respect to the mean value of intensity RMSE for ACs during the 2007–2017 climatological period. Yellow star in (b) indicates statistical significance at the 95% confidence level of the mean value of position RMSE for ACs during high-skill periods with respect to the mean value of position RMSE for ACs during the 2007–2017 climatological period. Purple stars in (a) indicate statistical significance at the 95% confidence level between the mean value of intensity RMSE for ACs </w:t>
      </w:r>
      <w:r w:rsidR="00DF5F83" w:rsidRPr="00DF5F83">
        <w:lastRenderedPageBreak/>
        <w:t>during low-skill periods and the mean value of intensity RMSE for ACs during high-skill periods.</w:t>
      </w:r>
    </w:p>
    <w:p w14:paraId="2F3CF937" w14:textId="07451CA9" w:rsidR="006C5625" w:rsidRDefault="006C5625" w:rsidP="006B14FA">
      <w:pPr>
        <w:pStyle w:val="ParagraphText"/>
      </w:pPr>
    </w:p>
    <w:p w14:paraId="0169460E" w14:textId="77777777" w:rsidR="00EA3620" w:rsidRDefault="00EA3620" w:rsidP="00EA3620">
      <w:pPr>
        <w:pStyle w:val="ParagraphText"/>
        <w:ind w:firstLine="0"/>
      </w:pPr>
    </w:p>
    <w:tbl>
      <w:tblPr>
        <w:tblStyle w:val="TableGrid3"/>
        <w:tblW w:w="0" w:type="auto"/>
        <w:tblInd w:w="108" w:type="dxa"/>
        <w:tblLook w:val="04A0" w:firstRow="1" w:lastRow="0" w:firstColumn="1" w:lastColumn="0" w:noHBand="0" w:noVBand="1"/>
      </w:tblPr>
      <w:tblGrid>
        <w:gridCol w:w="1771"/>
        <w:gridCol w:w="1006"/>
        <w:gridCol w:w="1006"/>
        <w:gridCol w:w="1006"/>
        <w:gridCol w:w="981"/>
        <w:gridCol w:w="1046"/>
        <w:gridCol w:w="1046"/>
        <w:gridCol w:w="1046"/>
      </w:tblGrid>
      <w:tr w:rsidR="00EA3620" w:rsidRPr="00EA3620" w14:paraId="078B3CBF" w14:textId="77777777" w:rsidTr="004103C1">
        <w:tc>
          <w:tcPr>
            <w:tcW w:w="1783" w:type="dxa"/>
            <w:vMerge w:val="restart"/>
          </w:tcPr>
          <w:p w14:paraId="482F87A5" w14:textId="77777777" w:rsidR="00EA3620" w:rsidRPr="00EA3620" w:rsidRDefault="00EA3620" w:rsidP="00EA3620">
            <w:pPr>
              <w:tabs>
                <w:tab w:val="left" w:pos="1993"/>
              </w:tabs>
              <w:snapToGrid/>
              <w:spacing w:before="0" w:after="0" w:line="240" w:lineRule="auto"/>
              <w:ind w:firstLine="0"/>
            </w:pPr>
          </w:p>
        </w:tc>
        <w:tc>
          <w:tcPr>
            <w:tcW w:w="7351" w:type="dxa"/>
            <w:gridSpan w:val="7"/>
          </w:tcPr>
          <w:p w14:paraId="62739796" w14:textId="77777777" w:rsidR="00EA3620" w:rsidRPr="00EA3620" w:rsidRDefault="00EA3620" w:rsidP="00EA3620">
            <w:pPr>
              <w:tabs>
                <w:tab w:val="left" w:pos="1993"/>
              </w:tabs>
              <w:snapToGrid/>
              <w:spacing w:before="0" w:after="0" w:line="240" w:lineRule="auto"/>
              <w:ind w:firstLine="0"/>
              <w:jc w:val="center"/>
            </w:pPr>
            <w:r w:rsidRPr="00EA3620">
              <w:t>Forecast lead time (days)</w:t>
            </w:r>
          </w:p>
        </w:tc>
      </w:tr>
      <w:tr w:rsidR="00EA3620" w:rsidRPr="00EA3620" w14:paraId="7AD89C5E" w14:textId="77777777" w:rsidTr="004103C1">
        <w:tc>
          <w:tcPr>
            <w:tcW w:w="1783" w:type="dxa"/>
            <w:vMerge/>
          </w:tcPr>
          <w:p w14:paraId="03A62A68" w14:textId="77777777" w:rsidR="00EA3620" w:rsidRPr="00EA3620" w:rsidRDefault="00EA3620" w:rsidP="00EA3620">
            <w:pPr>
              <w:tabs>
                <w:tab w:val="left" w:pos="1993"/>
              </w:tabs>
              <w:snapToGrid/>
              <w:spacing w:before="0" w:after="0" w:line="240" w:lineRule="auto"/>
              <w:ind w:firstLine="0"/>
            </w:pPr>
          </w:p>
        </w:tc>
        <w:tc>
          <w:tcPr>
            <w:tcW w:w="1036" w:type="dxa"/>
            <w:vAlign w:val="center"/>
          </w:tcPr>
          <w:p w14:paraId="18B5820B" w14:textId="77777777" w:rsidR="00EA3620" w:rsidRPr="00EA3620" w:rsidRDefault="00EA3620" w:rsidP="00EA3620">
            <w:pPr>
              <w:tabs>
                <w:tab w:val="left" w:pos="1993"/>
              </w:tabs>
              <w:snapToGrid/>
              <w:spacing w:before="0" w:after="0" w:line="240" w:lineRule="auto"/>
              <w:ind w:firstLine="0"/>
              <w:jc w:val="center"/>
            </w:pPr>
            <w:r w:rsidRPr="00EA3620">
              <w:t>1</w:t>
            </w:r>
          </w:p>
        </w:tc>
        <w:tc>
          <w:tcPr>
            <w:tcW w:w="1036" w:type="dxa"/>
            <w:vAlign w:val="center"/>
          </w:tcPr>
          <w:p w14:paraId="064AA48F" w14:textId="77777777" w:rsidR="00EA3620" w:rsidRPr="00EA3620" w:rsidRDefault="00EA3620" w:rsidP="00EA3620">
            <w:pPr>
              <w:tabs>
                <w:tab w:val="left" w:pos="1993"/>
              </w:tabs>
              <w:snapToGrid/>
              <w:spacing w:before="0" w:after="0" w:line="240" w:lineRule="auto"/>
              <w:ind w:firstLine="0"/>
              <w:jc w:val="center"/>
            </w:pPr>
            <w:r w:rsidRPr="00EA3620">
              <w:t>2</w:t>
            </w:r>
          </w:p>
        </w:tc>
        <w:tc>
          <w:tcPr>
            <w:tcW w:w="1036" w:type="dxa"/>
            <w:vAlign w:val="center"/>
          </w:tcPr>
          <w:p w14:paraId="7897BD24" w14:textId="77777777" w:rsidR="00EA3620" w:rsidRPr="00EA3620" w:rsidRDefault="00EA3620" w:rsidP="00EA3620">
            <w:pPr>
              <w:tabs>
                <w:tab w:val="left" w:pos="1993"/>
              </w:tabs>
              <w:snapToGrid/>
              <w:spacing w:before="0" w:after="0" w:line="240" w:lineRule="auto"/>
              <w:ind w:firstLine="0"/>
              <w:jc w:val="center"/>
            </w:pPr>
            <w:r w:rsidRPr="00EA3620">
              <w:t>3</w:t>
            </w:r>
          </w:p>
        </w:tc>
        <w:tc>
          <w:tcPr>
            <w:tcW w:w="1009" w:type="dxa"/>
            <w:vAlign w:val="center"/>
          </w:tcPr>
          <w:p w14:paraId="703FFAF2" w14:textId="77777777" w:rsidR="00EA3620" w:rsidRPr="00EA3620" w:rsidRDefault="00EA3620" w:rsidP="00EA3620">
            <w:pPr>
              <w:tabs>
                <w:tab w:val="left" w:pos="1993"/>
              </w:tabs>
              <w:snapToGrid/>
              <w:spacing w:before="0" w:after="0" w:line="240" w:lineRule="auto"/>
              <w:ind w:firstLine="0"/>
              <w:jc w:val="center"/>
            </w:pPr>
            <w:r w:rsidRPr="00EA3620">
              <w:t>4</w:t>
            </w:r>
          </w:p>
        </w:tc>
        <w:tc>
          <w:tcPr>
            <w:tcW w:w="1078" w:type="dxa"/>
            <w:vAlign w:val="center"/>
          </w:tcPr>
          <w:p w14:paraId="618B1344" w14:textId="77777777" w:rsidR="00EA3620" w:rsidRPr="00EA3620" w:rsidRDefault="00EA3620" w:rsidP="00EA3620">
            <w:pPr>
              <w:tabs>
                <w:tab w:val="left" w:pos="1993"/>
              </w:tabs>
              <w:snapToGrid/>
              <w:spacing w:before="0" w:after="0" w:line="240" w:lineRule="auto"/>
              <w:ind w:firstLine="0"/>
              <w:jc w:val="center"/>
            </w:pPr>
            <w:r w:rsidRPr="00EA3620">
              <w:t>5</w:t>
            </w:r>
          </w:p>
        </w:tc>
        <w:tc>
          <w:tcPr>
            <w:tcW w:w="1078" w:type="dxa"/>
            <w:vAlign w:val="center"/>
          </w:tcPr>
          <w:p w14:paraId="2F6F1390" w14:textId="77777777" w:rsidR="00EA3620" w:rsidRPr="00EA3620" w:rsidRDefault="00EA3620" w:rsidP="00EA3620">
            <w:pPr>
              <w:tabs>
                <w:tab w:val="left" w:pos="1993"/>
              </w:tabs>
              <w:snapToGrid/>
              <w:spacing w:before="0" w:after="0" w:line="240" w:lineRule="auto"/>
              <w:ind w:firstLine="0"/>
              <w:jc w:val="center"/>
            </w:pPr>
            <w:r w:rsidRPr="00EA3620">
              <w:t>6</w:t>
            </w:r>
          </w:p>
        </w:tc>
        <w:tc>
          <w:tcPr>
            <w:tcW w:w="1078" w:type="dxa"/>
            <w:vAlign w:val="center"/>
          </w:tcPr>
          <w:p w14:paraId="534E3874" w14:textId="77777777" w:rsidR="00EA3620" w:rsidRPr="00EA3620" w:rsidRDefault="00EA3620" w:rsidP="00EA3620">
            <w:pPr>
              <w:tabs>
                <w:tab w:val="left" w:pos="1993"/>
              </w:tabs>
              <w:snapToGrid/>
              <w:spacing w:before="0" w:after="0" w:line="240" w:lineRule="auto"/>
              <w:ind w:firstLine="0"/>
              <w:jc w:val="center"/>
            </w:pPr>
            <w:r w:rsidRPr="00EA3620">
              <w:t>7</w:t>
            </w:r>
          </w:p>
        </w:tc>
      </w:tr>
      <w:tr w:rsidR="00EA3620" w:rsidRPr="00EA3620" w14:paraId="43132D11" w14:textId="77777777" w:rsidTr="004103C1">
        <w:tc>
          <w:tcPr>
            <w:tcW w:w="1783" w:type="dxa"/>
          </w:tcPr>
          <w:p w14:paraId="62F3C75F" w14:textId="77777777" w:rsidR="00EA3620" w:rsidRPr="00EA3620" w:rsidRDefault="00EA3620" w:rsidP="00EA3620">
            <w:pPr>
              <w:tabs>
                <w:tab w:val="left" w:pos="1993"/>
              </w:tabs>
              <w:snapToGrid/>
              <w:spacing w:before="0" w:after="0" w:line="240" w:lineRule="auto"/>
              <w:ind w:firstLine="0"/>
              <w:jc w:val="right"/>
            </w:pPr>
            <w:r w:rsidRPr="00EA3620">
              <w:t>The 2007–2017 climatological period</w:t>
            </w:r>
          </w:p>
        </w:tc>
        <w:tc>
          <w:tcPr>
            <w:tcW w:w="1036" w:type="dxa"/>
            <w:vAlign w:val="center"/>
          </w:tcPr>
          <w:p w14:paraId="3D345FDA" w14:textId="77777777" w:rsidR="00EA3620" w:rsidRPr="00EA3620" w:rsidRDefault="00EA3620" w:rsidP="00EA3620">
            <w:pPr>
              <w:tabs>
                <w:tab w:val="left" w:pos="1993"/>
              </w:tabs>
              <w:snapToGrid/>
              <w:spacing w:before="0" w:after="0" w:line="240" w:lineRule="auto"/>
              <w:ind w:firstLine="0"/>
              <w:jc w:val="center"/>
            </w:pPr>
            <w:r w:rsidRPr="00EA3620">
              <w:t>504</w:t>
            </w:r>
          </w:p>
        </w:tc>
        <w:tc>
          <w:tcPr>
            <w:tcW w:w="1036" w:type="dxa"/>
            <w:vAlign w:val="center"/>
          </w:tcPr>
          <w:p w14:paraId="1D4E0DF5" w14:textId="77777777" w:rsidR="00EA3620" w:rsidRPr="00EA3620" w:rsidRDefault="00EA3620" w:rsidP="00EA3620">
            <w:pPr>
              <w:tabs>
                <w:tab w:val="left" w:pos="1993"/>
              </w:tabs>
              <w:snapToGrid/>
              <w:spacing w:before="0" w:after="0" w:line="240" w:lineRule="auto"/>
              <w:ind w:firstLine="0"/>
              <w:jc w:val="center"/>
            </w:pPr>
            <w:r w:rsidRPr="00EA3620">
              <w:t>557</w:t>
            </w:r>
          </w:p>
        </w:tc>
        <w:tc>
          <w:tcPr>
            <w:tcW w:w="1036" w:type="dxa"/>
            <w:vAlign w:val="center"/>
          </w:tcPr>
          <w:p w14:paraId="567A28B9" w14:textId="77777777" w:rsidR="00EA3620" w:rsidRPr="00EA3620" w:rsidRDefault="00EA3620" w:rsidP="00EA3620">
            <w:pPr>
              <w:tabs>
                <w:tab w:val="left" w:pos="1993"/>
              </w:tabs>
              <w:snapToGrid/>
              <w:spacing w:before="0" w:after="0" w:line="240" w:lineRule="auto"/>
              <w:ind w:firstLine="0"/>
              <w:jc w:val="center"/>
            </w:pPr>
            <w:r w:rsidRPr="00EA3620">
              <w:t>549</w:t>
            </w:r>
          </w:p>
        </w:tc>
        <w:tc>
          <w:tcPr>
            <w:tcW w:w="1009" w:type="dxa"/>
            <w:vAlign w:val="center"/>
          </w:tcPr>
          <w:p w14:paraId="27792E4E" w14:textId="77777777" w:rsidR="00EA3620" w:rsidRPr="00EA3620" w:rsidRDefault="00EA3620" w:rsidP="00EA3620">
            <w:pPr>
              <w:tabs>
                <w:tab w:val="left" w:pos="1993"/>
              </w:tabs>
              <w:snapToGrid/>
              <w:spacing w:before="0" w:after="0" w:line="240" w:lineRule="auto"/>
              <w:ind w:firstLine="0"/>
              <w:jc w:val="center"/>
            </w:pPr>
            <w:r w:rsidRPr="00EA3620">
              <w:t>528</w:t>
            </w:r>
          </w:p>
        </w:tc>
        <w:tc>
          <w:tcPr>
            <w:tcW w:w="1078" w:type="dxa"/>
            <w:vAlign w:val="center"/>
          </w:tcPr>
          <w:p w14:paraId="6EF22BCB" w14:textId="77777777" w:rsidR="00EA3620" w:rsidRPr="00EA3620" w:rsidRDefault="00EA3620" w:rsidP="00EA3620">
            <w:pPr>
              <w:tabs>
                <w:tab w:val="left" w:pos="1993"/>
              </w:tabs>
              <w:snapToGrid/>
              <w:spacing w:before="0" w:after="0" w:line="240" w:lineRule="auto"/>
              <w:ind w:firstLine="0"/>
              <w:jc w:val="center"/>
            </w:pPr>
            <w:r w:rsidRPr="00EA3620">
              <w:t>509</w:t>
            </w:r>
          </w:p>
        </w:tc>
        <w:tc>
          <w:tcPr>
            <w:tcW w:w="1078" w:type="dxa"/>
            <w:vAlign w:val="center"/>
          </w:tcPr>
          <w:p w14:paraId="5B86F332" w14:textId="77777777" w:rsidR="00EA3620" w:rsidRPr="00EA3620" w:rsidRDefault="00EA3620" w:rsidP="00EA3620">
            <w:pPr>
              <w:tabs>
                <w:tab w:val="left" w:pos="1993"/>
              </w:tabs>
              <w:snapToGrid/>
              <w:spacing w:before="0" w:after="0" w:line="240" w:lineRule="auto"/>
              <w:ind w:firstLine="0"/>
              <w:jc w:val="center"/>
            </w:pPr>
            <w:r w:rsidRPr="00EA3620">
              <w:t>450</w:t>
            </w:r>
          </w:p>
        </w:tc>
        <w:tc>
          <w:tcPr>
            <w:tcW w:w="1078" w:type="dxa"/>
            <w:vAlign w:val="center"/>
          </w:tcPr>
          <w:p w14:paraId="632CA718" w14:textId="77777777" w:rsidR="00EA3620" w:rsidRPr="00EA3620" w:rsidRDefault="00EA3620" w:rsidP="00EA3620">
            <w:pPr>
              <w:tabs>
                <w:tab w:val="left" w:pos="1993"/>
              </w:tabs>
              <w:snapToGrid/>
              <w:spacing w:before="0" w:after="0" w:line="240" w:lineRule="auto"/>
              <w:ind w:firstLine="0"/>
              <w:jc w:val="center"/>
            </w:pPr>
            <w:r w:rsidRPr="00EA3620">
              <w:t>343</w:t>
            </w:r>
          </w:p>
        </w:tc>
      </w:tr>
      <w:tr w:rsidR="00EA3620" w:rsidRPr="00EA3620" w14:paraId="0E2001EA" w14:textId="77777777" w:rsidTr="004103C1">
        <w:tc>
          <w:tcPr>
            <w:tcW w:w="1783" w:type="dxa"/>
          </w:tcPr>
          <w:p w14:paraId="51B4CDDA" w14:textId="77777777" w:rsidR="00EA3620" w:rsidRPr="00EA3620" w:rsidRDefault="00EA3620" w:rsidP="00EA3620">
            <w:pPr>
              <w:tabs>
                <w:tab w:val="left" w:pos="1993"/>
              </w:tabs>
              <w:snapToGrid/>
              <w:spacing w:before="0" w:after="0" w:line="240" w:lineRule="auto"/>
              <w:ind w:firstLine="0"/>
              <w:jc w:val="right"/>
            </w:pPr>
            <w:r w:rsidRPr="00EA3620">
              <w:t>Low-skill periods</w:t>
            </w:r>
          </w:p>
        </w:tc>
        <w:tc>
          <w:tcPr>
            <w:tcW w:w="1036" w:type="dxa"/>
            <w:vAlign w:val="center"/>
          </w:tcPr>
          <w:p w14:paraId="2049F485" w14:textId="77777777" w:rsidR="00EA3620" w:rsidRPr="00EA3620" w:rsidRDefault="00EA3620" w:rsidP="00EA3620">
            <w:pPr>
              <w:tabs>
                <w:tab w:val="left" w:pos="1993"/>
              </w:tabs>
              <w:snapToGrid/>
              <w:spacing w:before="0" w:after="0" w:line="240" w:lineRule="auto"/>
              <w:ind w:firstLine="0"/>
              <w:jc w:val="center"/>
            </w:pPr>
            <w:r w:rsidRPr="00EA3620">
              <w:t>213</w:t>
            </w:r>
          </w:p>
        </w:tc>
        <w:tc>
          <w:tcPr>
            <w:tcW w:w="1036" w:type="dxa"/>
            <w:vAlign w:val="center"/>
          </w:tcPr>
          <w:p w14:paraId="5036615D" w14:textId="77777777" w:rsidR="00EA3620" w:rsidRPr="00EA3620" w:rsidRDefault="00EA3620" w:rsidP="00EA3620">
            <w:pPr>
              <w:tabs>
                <w:tab w:val="left" w:pos="1993"/>
              </w:tabs>
              <w:snapToGrid/>
              <w:spacing w:before="0" w:after="0" w:line="240" w:lineRule="auto"/>
              <w:ind w:firstLine="0"/>
              <w:jc w:val="center"/>
            </w:pPr>
            <w:r w:rsidRPr="00EA3620">
              <w:t>238</w:t>
            </w:r>
          </w:p>
        </w:tc>
        <w:tc>
          <w:tcPr>
            <w:tcW w:w="1036" w:type="dxa"/>
            <w:vAlign w:val="center"/>
          </w:tcPr>
          <w:p w14:paraId="51421ED3" w14:textId="77777777" w:rsidR="00EA3620" w:rsidRPr="00EA3620" w:rsidRDefault="00EA3620" w:rsidP="00EA3620">
            <w:pPr>
              <w:tabs>
                <w:tab w:val="left" w:pos="1993"/>
              </w:tabs>
              <w:snapToGrid/>
              <w:spacing w:before="0" w:after="0" w:line="240" w:lineRule="auto"/>
              <w:ind w:firstLine="0"/>
              <w:jc w:val="center"/>
            </w:pPr>
            <w:r w:rsidRPr="00EA3620">
              <w:t>231</w:t>
            </w:r>
          </w:p>
        </w:tc>
        <w:tc>
          <w:tcPr>
            <w:tcW w:w="1009" w:type="dxa"/>
            <w:vAlign w:val="center"/>
          </w:tcPr>
          <w:p w14:paraId="70A57006" w14:textId="77777777" w:rsidR="00EA3620" w:rsidRPr="00EA3620" w:rsidRDefault="00EA3620" w:rsidP="00EA3620">
            <w:pPr>
              <w:tabs>
                <w:tab w:val="left" w:pos="1993"/>
              </w:tabs>
              <w:snapToGrid/>
              <w:spacing w:before="0" w:after="0" w:line="240" w:lineRule="auto"/>
              <w:ind w:firstLine="0"/>
              <w:jc w:val="center"/>
            </w:pPr>
            <w:r w:rsidRPr="00EA3620">
              <w:t>223</w:t>
            </w:r>
          </w:p>
        </w:tc>
        <w:tc>
          <w:tcPr>
            <w:tcW w:w="1078" w:type="dxa"/>
            <w:vAlign w:val="center"/>
          </w:tcPr>
          <w:p w14:paraId="15C77B30" w14:textId="77777777" w:rsidR="00EA3620" w:rsidRPr="00EA3620" w:rsidRDefault="00EA3620" w:rsidP="00EA3620">
            <w:pPr>
              <w:tabs>
                <w:tab w:val="left" w:pos="1993"/>
              </w:tabs>
              <w:snapToGrid/>
              <w:spacing w:before="0" w:after="0" w:line="240" w:lineRule="auto"/>
              <w:ind w:firstLine="0"/>
              <w:jc w:val="center"/>
            </w:pPr>
            <w:r w:rsidRPr="00EA3620">
              <w:t>208</w:t>
            </w:r>
          </w:p>
        </w:tc>
        <w:tc>
          <w:tcPr>
            <w:tcW w:w="1078" w:type="dxa"/>
            <w:vAlign w:val="center"/>
          </w:tcPr>
          <w:p w14:paraId="20CD8E39" w14:textId="77777777" w:rsidR="00EA3620" w:rsidRPr="00EA3620" w:rsidRDefault="00EA3620" w:rsidP="00EA3620">
            <w:pPr>
              <w:tabs>
                <w:tab w:val="left" w:pos="1993"/>
              </w:tabs>
              <w:snapToGrid/>
              <w:spacing w:before="0" w:after="0" w:line="240" w:lineRule="auto"/>
              <w:ind w:firstLine="0"/>
              <w:jc w:val="center"/>
            </w:pPr>
            <w:r w:rsidRPr="00EA3620">
              <w:t>176</w:t>
            </w:r>
          </w:p>
        </w:tc>
        <w:tc>
          <w:tcPr>
            <w:tcW w:w="1078" w:type="dxa"/>
            <w:vAlign w:val="center"/>
          </w:tcPr>
          <w:p w14:paraId="08D5D383" w14:textId="77777777" w:rsidR="00EA3620" w:rsidRPr="00EA3620" w:rsidRDefault="00EA3620" w:rsidP="00EA3620">
            <w:pPr>
              <w:tabs>
                <w:tab w:val="left" w:pos="1993"/>
              </w:tabs>
              <w:snapToGrid/>
              <w:spacing w:before="0" w:after="0" w:line="240" w:lineRule="auto"/>
              <w:ind w:firstLine="0"/>
              <w:jc w:val="center"/>
            </w:pPr>
            <w:r w:rsidRPr="00EA3620">
              <w:t>142</w:t>
            </w:r>
          </w:p>
        </w:tc>
      </w:tr>
      <w:tr w:rsidR="00EA3620" w:rsidRPr="00EA3620" w14:paraId="23EE8E37" w14:textId="77777777" w:rsidTr="004103C1">
        <w:tc>
          <w:tcPr>
            <w:tcW w:w="1783" w:type="dxa"/>
          </w:tcPr>
          <w:p w14:paraId="7CF61FC2" w14:textId="77777777" w:rsidR="00EA3620" w:rsidRPr="00EA3620" w:rsidRDefault="00EA3620" w:rsidP="00EA3620">
            <w:pPr>
              <w:tabs>
                <w:tab w:val="left" w:pos="1993"/>
              </w:tabs>
              <w:snapToGrid/>
              <w:spacing w:before="0" w:after="0" w:line="240" w:lineRule="auto"/>
              <w:ind w:firstLine="0"/>
              <w:jc w:val="right"/>
            </w:pPr>
            <w:r w:rsidRPr="00EA3620">
              <w:t>High-skill periods</w:t>
            </w:r>
          </w:p>
        </w:tc>
        <w:tc>
          <w:tcPr>
            <w:tcW w:w="1036" w:type="dxa"/>
            <w:vAlign w:val="center"/>
          </w:tcPr>
          <w:p w14:paraId="092D46B2" w14:textId="77777777" w:rsidR="00EA3620" w:rsidRPr="00EA3620" w:rsidRDefault="00EA3620" w:rsidP="00EA3620">
            <w:pPr>
              <w:tabs>
                <w:tab w:val="left" w:pos="1993"/>
              </w:tabs>
              <w:snapToGrid/>
              <w:spacing w:before="0" w:after="0" w:line="240" w:lineRule="auto"/>
              <w:ind w:firstLine="0"/>
              <w:jc w:val="center"/>
            </w:pPr>
            <w:r w:rsidRPr="00EA3620">
              <w:t>126</w:t>
            </w:r>
          </w:p>
        </w:tc>
        <w:tc>
          <w:tcPr>
            <w:tcW w:w="1036" w:type="dxa"/>
            <w:vAlign w:val="center"/>
          </w:tcPr>
          <w:p w14:paraId="28FDDFD3" w14:textId="77777777" w:rsidR="00EA3620" w:rsidRPr="00EA3620" w:rsidRDefault="00EA3620" w:rsidP="00EA3620">
            <w:pPr>
              <w:tabs>
                <w:tab w:val="left" w:pos="1993"/>
              </w:tabs>
              <w:snapToGrid/>
              <w:spacing w:before="0" w:after="0" w:line="240" w:lineRule="auto"/>
              <w:ind w:firstLine="0"/>
              <w:jc w:val="center"/>
            </w:pPr>
            <w:r w:rsidRPr="00EA3620">
              <w:t>148</w:t>
            </w:r>
          </w:p>
        </w:tc>
        <w:tc>
          <w:tcPr>
            <w:tcW w:w="1036" w:type="dxa"/>
            <w:vAlign w:val="center"/>
          </w:tcPr>
          <w:p w14:paraId="2E806E3B" w14:textId="77777777" w:rsidR="00EA3620" w:rsidRPr="00EA3620" w:rsidRDefault="00EA3620" w:rsidP="00EA3620">
            <w:pPr>
              <w:tabs>
                <w:tab w:val="left" w:pos="1993"/>
              </w:tabs>
              <w:snapToGrid/>
              <w:spacing w:before="0" w:after="0" w:line="240" w:lineRule="auto"/>
              <w:ind w:firstLine="0"/>
              <w:jc w:val="center"/>
            </w:pPr>
            <w:r w:rsidRPr="00EA3620">
              <w:t>147</w:t>
            </w:r>
          </w:p>
        </w:tc>
        <w:tc>
          <w:tcPr>
            <w:tcW w:w="1009" w:type="dxa"/>
            <w:vAlign w:val="center"/>
          </w:tcPr>
          <w:p w14:paraId="10119957" w14:textId="77777777" w:rsidR="00EA3620" w:rsidRPr="00EA3620" w:rsidRDefault="00EA3620" w:rsidP="00EA3620">
            <w:pPr>
              <w:tabs>
                <w:tab w:val="left" w:pos="1993"/>
              </w:tabs>
              <w:snapToGrid/>
              <w:spacing w:before="0" w:after="0" w:line="240" w:lineRule="auto"/>
              <w:ind w:firstLine="0"/>
              <w:jc w:val="center"/>
            </w:pPr>
            <w:r w:rsidRPr="00EA3620">
              <w:t>143</w:t>
            </w:r>
          </w:p>
        </w:tc>
        <w:tc>
          <w:tcPr>
            <w:tcW w:w="1078" w:type="dxa"/>
            <w:vAlign w:val="center"/>
          </w:tcPr>
          <w:p w14:paraId="0E345229" w14:textId="77777777" w:rsidR="00EA3620" w:rsidRPr="00EA3620" w:rsidRDefault="00EA3620" w:rsidP="00EA3620">
            <w:pPr>
              <w:tabs>
                <w:tab w:val="left" w:pos="1993"/>
              </w:tabs>
              <w:snapToGrid/>
              <w:spacing w:before="0" w:after="0" w:line="240" w:lineRule="auto"/>
              <w:ind w:firstLine="0"/>
              <w:jc w:val="center"/>
            </w:pPr>
            <w:r w:rsidRPr="00EA3620">
              <w:t>145</w:t>
            </w:r>
          </w:p>
        </w:tc>
        <w:tc>
          <w:tcPr>
            <w:tcW w:w="1078" w:type="dxa"/>
            <w:vAlign w:val="center"/>
          </w:tcPr>
          <w:p w14:paraId="0840A12D" w14:textId="77777777" w:rsidR="00EA3620" w:rsidRPr="00EA3620" w:rsidRDefault="00EA3620" w:rsidP="00EA3620">
            <w:pPr>
              <w:tabs>
                <w:tab w:val="left" w:pos="1993"/>
              </w:tabs>
              <w:snapToGrid/>
              <w:spacing w:before="0" w:after="0" w:line="240" w:lineRule="auto"/>
              <w:ind w:firstLine="0"/>
              <w:jc w:val="center"/>
            </w:pPr>
            <w:r w:rsidRPr="00EA3620">
              <w:t>135</w:t>
            </w:r>
          </w:p>
        </w:tc>
        <w:tc>
          <w:tcPr>
            <w:tcW w:w="1078" w:type="dxa"/>
            <w:vAlign w:val="center"/>
          </w:tcPr>
          <w:p w14:paraId="3273EA41" w14:textId="77777777" w:rsidR="00EA3620" w:rsidRPr="00EA3620" w:rsidRDefault="00EA3620" w:rsidP="00EA3620">
            <w:pPr>
              <w:tabs>
                <w:tab w:val="left" w:pos="1993"/>
              </w:tabs>
              <w:snapToGrid/>
              <w:spacing w:before="0" w:after="0" w:line="240" w:lineRule="auto"/>
              <w:ind w:firstLine="0"/>
              <w:jc w:val="center"/>
            </w:pPr>
            <w:r w:rsidRPr="00EA3620">
              <w:t>93</w:t>
            </w:r>
          </w:p>
        </w:tc>
      </w:tr>
    </w:tbl>
    <w:p w14:paraId="5CCD6B1B" w14:textId="77777777" w:rsidR="006C5625" w:rsidRDefault="006C5625" w:rsidP="006C5625">
      <w:pPr>
        <w:spacing w:before="0" w:after="0" w:line="240" w:lineRule="auto"/>
        <w:ind w:firstLine="0"/>
      </w:pPr>
    </w:p>
    <w:p w14:paraId="41EEB7C8" w14:textId="77777777" w:rsidR="006C5625" w:rsidRPr="006C5625" w:rsidRDefault="006C5625" w:rsidP="006C5625">
      <w:pPr>
        <w:spacing w:before="0" w:after="0" w:line="240" w:lineRule="auto"/>
        <w:ind w:firstLine="0"/>
      </w:pPr>
      <w:r w:rsidRPr="006C5625">
        <w:t>Table 2. Number of ACs during the 2007–2017 climatological period, ACs during low-skill periods, and ACs during high-skill periods for which forecast skill can be evaluated at forecast lead times of 1–7 days, every 1 day.</w:t>
      </w:r>
    </w:p>
    <w:p w14:paraId="3734AD55" w14:textId="77777777" w:rsidR="006C5625" w:rsidRDefault="006C5625" w:rsidP="00816E83">
      <w:pPr>
        <w:pStyle w:val="ParagraphText"/>
        <w:ind w:firstLine="0"/>
      </w:pPr>
    </w:p>
    <w:p w14:paraId="0CA334FD" w14:textId="16723186" w:rsidR="005F6EB0" w:rsidRDefault="00925B1A" w:rsidP="005F6EB0">
      <w:pPr>
        <w:pStyle w:val="ParagraphText"/>
      </w:pPr>
      <w:r>
        <w:t xml:space="preserve">The </w:t>
      </w:r>
      <w:r w:rsidRPr="00074782">
        <w:t xml:space="preserve">mean intensity RMSE of ACs during low-skill periods </w:t>
      </w:r>
      <w:r w:rsidR="00816C90">
        <w:t>is</w:t>
      </w:r>
      <w:r w:rsidRPr="00074782">
        <w:t xml:space="preserve"> </w:t>
      </w:r>
      <w:r>
        <w:t xml:space="preserve">only </w:t>
      </w:r>
      <w:r w:rsidRPr="00074782">
        <w:t xml:space="preserve">slightly higher than </w:t>
      </w:r>
      <w:r>
        <w:t xml:space="preserve">the </w:t>
      </w:r>
      <w:r w:rsidRPr="00074782">
        <w:t xml:space="preserve">mean intensity RMSE </w:t>
      </w:r>
      <w:r>
        <w:t xml:space="preserve">of </w:t>
      </w:r>
      <w:r w:rsidRPr="00074782">
        <w:t xml:space="preserve">ACs during high-skill periods for forecast lead times </w:t>
      </w:r>
      <w:r>
        <w:t xml:space="preserve">of </w:t>
      </w:r>
      <w:r w:rsidR="00147C30">
        <w:t>1</w:t>
      </w:r>
      <w:r>
        <w:t>–</w:t>
      </w:r>
      <w:r w:rsidR="00147C30">
        <w:t>4</w:t>
      </w:r>
      <w:r>
        <w:t xml:space="preserve"> days</w:t>
      </w:r>
      <w:r w:rsidR="00147C30">
        <w:t xml:space="preserve"> </w:t>
      </w:r>
      <w:r>
        <w:t>(Fig. 1</w:t>
      </w:r>
      <w:r w:rsidR="00F15E14">
        <w:t>1</w:t>
      </w:r>
      <w:r w:rsidRPr="00074782">
        <w:t xml:space="preserve">a), and statistically significantly higher than </w:t>
      </w:r>
      <w:r>
        <w:t xml:space="preserve">the </w:t>
      </w:r>
      <w:r w:rsidRPr="00074782">
        <w:t xml:space="preserve">mean intensity RMSE </w:t>
      </w:r>
      <w:r>
        <w:t xml:space="preserve">of </w:t>
      </w:r>
      <w:r w:rsidRPr="00074782">
        <w:t>ACs during high-skill periods for forecast lead</w:t>
      </w:r>
      <w:r>
        <w:t xml:space="preserve"> times of </w:t>
      </w:r>
      <w:r w:rsidR="00147C30">
        <w:t>5–7</w:t>
      </w:r>
      <w:r>
        <w:t xml:space="preserve"> days (Fig. 1</w:t>
      </w:r>
      <w:r w:rsidR="00F15E14">
        <w:t>1</w:t>
      </w:r>
      <w:r w:rsidRPr="00074782">
        <w:t>a).</w:t>
      </w:r>
      <w:r w:rsidR="00495F10">
        <w:t xml:space="preserve"> </w:t>
      </w:r>
      <w:r w:rsidR="000F362D" w:rsidRPr="000F362D">
        <w:t xml:space="preserve">The statistically significantly higher mean intensity RMSE of ACs during low-skill periods compared to high-skill periods for </w:t>
      </w:r>
      <w:r w:rsidR="00027DD6">
        <w:t xml:space="preserve">only </w:t>
      </w:r>
      <w:r w:rsidR="00147C30">
        <w:t>three</w:t>
      </w:r>
      <w:r w:rsidR="000F362D" w:rsidRPr="000F362D">
        <w:t xml:space="preserve"> of the seven forecast lead times provides </w:t>
      </w:r>
      <w:r w:rsidR="00027DD6">
        <w:t>weak</w:t>
      </w:r>
      <w:r w:rsidR="00147C30" w:rsidRPr="000F362D">
        <w:t xml:space="preserve"> </w:t>
      </w:r>
      <w:r w:rsidR="000F362D" w:rsidRPr="000F362D">
        <w:t>evidence that ACs are associated with lower forecast skill of intensity during low-skill periods compared to high-skill periods.</w:t>
      </w:r>
      <w:r w:rsidR="000F362D">
        <w:t xml:space="preserve"> </w:t>
      </w:r>
      <w:r w:rsidR="00D47ACE">
        <w:t>T</w:t>
      </w:r>
      <w:r w:rsidR="00147C30">
        <w:t>he mean intensity RMSE of</w:t>
      </w:r>
      <w:r w:rsidR="003B3CAA">
        <w:t xml:space="preserve"> ACs during low-skill periods </w:t>
      </w:r>
      <w:r w:rsidR="00147C30">
        <w:t xml:space="preserve">is statistically significantly higher than the mean intensity RMSE of ACs </w:t>
      </w:r>
      <w:r w:rsidR="00CF5CFA">
        <w:t xml:space="preserve">during the 2007–2017 climatological period </w:t>
      </w:r>
      <w:r w:rsidR="00147C30">
        <w:t>for forecast lead times of 6–7 days (Fig. 1</w:t>
      </w:r>
      <w:r w:rsidR="00F15E14">
        <w:t>1</w:t>
      </w:r>
      <w:r w:rsidR="00147C30">
        <w:t>a), and the mean intensity RMSE of ACs during high</w:t>
      </w:r>
      <w:r w:rsidR="006B4049">
        <w:t>-</w:t>
      </w:r>
      <w:r w:rsidR="00147C30">
        <w:t xml:space="preserve">skill periods is statistically significantly lower than the mean intensity RMSE of ACs during the 2007–2017 climatological period </w:t>
      </w:r>
      <w:r w:rsidR="00517EBD">
        <w:t>for</w:t>
      </w:r>
      <w:r w:rsidR="00147C30">
        <w:t xml:space="preserve"> forecast lead times of 5–6 days (</w:t>
      </w:r>
      <w:r w:rsidR="003C1866">
        <w:t>Fig. 1</w:t>
      </w:r>
      <w:r w:rsidR="00F15E14">
        <w:t>1</w:t>
      </w:r>
      <w:r w:rsidR="003C1866">
        <w:t>a)</w:t>
      </w:r>
      <w:r w:rsidR="00495F10">
        <w:t xml:space="preserve">. </w:t>
      </w:r>
      <w:r>
        <w:t xml:space="preserve">There </w:t>
      </w:r>
      <w:r w:rsidRPr="00074782">
        <w:t xml:space="preserve">are no statistically significant differences in the mean values of position RMSE between ACs during low-skill periods and ACs </w:t>
      </w:r>
      <w:r>
        <w:t xml:space="preserve">during </w:t>
      </w:r>
      <w:r w:rsidRPr="00074782">
        <w:t>high-skill peri</w:t>
      </w:r>
      <w:r>
        <w:t>ods for all forecast lead times (Fig. 1</w:t>
      </w:r>
      <w:r w:rsidR="00F15E14">
        <w:t>1</w:t>
      </w:r>
      <w:r>
        <w:t>b)</w:t>
      </w:r>
      <w:r w:rsidR="00CF5CFA">
        <w:t xml:space="preserve">. The mean position RMSE of ACs during high-skill periods is statistically significantly higher than the mean position RMSE of ACs during the 2007–2017 climatological period for only the 1-day forecast lead time. </w:t>
      </w:r>
      <w:r>
        <w:t xml:space="preserve">The </w:t>
      </w:r>
      <w:r w:rsidR="000F362D">
        <w:t>relatively small number of instances of</w:t>
      </w:r>
      <w:r w:rsidR="003C1866">
        <w:t xml:space="preserve"> statistically significant differences in</w:t>
      </w:r>
      <w:r w:rsidR="0093227C">
        <w:t xml:space="preserve"> the mean</w:t>
      </w:r>
      <w:r w:rsidR="00A42919">
        <w:t xml:space="preserve"> values of</w:t>
      </w:r>
      <w:r w:rsidR="002F7D77">
        <w:t xml:space="preserve"> intensity RMSE</w:t>
      </w:r>
      <w:r w:rsidR="00EB5E48">
        <w:t>,</w:t>
      </w:r>
      <w:r w:rsidR="002F7D77">
        <w:t xml:space="preserve"> and</w:t>
      </w:r>
      <w:r w:rsidR="00EB5E48">
        <w:t xml:space="preserve"> the lack of statistically significant differences in the mean values of</w:t>
      </w:r>
      <w:r w:rsidR="002F7D77">
        <w:t xml:space="preserve"> </w:t>
      </w:r>
      <w:r>
        <w:t>position RMSE</w:t>
      </w:r>
      <w:r w:rsidR="00EB5E48">
        <w:t>,</w:t>
      </w:r>
      <w:r w:rsidR="003C1866">
        <w:t xml:space="preserve"> between </w:t>
      </w:r>
      <w:r w:rsidR="003C1866">
        <w:lastRenderedPageBreak/>
        <w:t>ACs during low-skill periods and ACs during high-skill periods</w:t>
      </w:r>
      <w:r>
        <w:t xml:space="preserve"> suggest that the forecast skill of</w:t>
      </w:r>
      <w:r w:rsidR="009E74A5">
        <w:t xml:space="preserve"> the intensity and position of</w:t>
      </w:r>
      <w:r>
        <w:t xml:space="preserve"> ACs cannot be inferred from the forecast skill of the synoptic-scale flow over the Arctic, such that ACs during low-skill periods are not necessarily associated with lower forecast skill </w:t>
      </w:r>
      <w:r w:rsidR="009E74A5">
        <w:t>of</w:t>
      </w:r>
      <w:r w:rsidR="008C2779">
        <w:t xml:space="preserve"> </w:t>
      </w:r>
      <w:r w:rsidR="009E74A5">
        <w:t xml:space="preserve">intensity and position </w:t>
      </w:r>
      <w:r>
        <w:t>compared to ACs during high-skill periods.</w:t>
      </w:r>
      <w:r w:rsidR="005F6EB0">
        <w:t xml:space="preserve"> </w:t>
      </w:r>
    </w:p>
    <w:p w14:paraId="6ADF3434" w14:textId="16B5E273" w:rsidR="00D90B97" w:rsidRDefault="00491B14" w:rsidP="00FD1618">
      <w:r>
        <w:t xml:space="preserve">Distributions of the most extreme value, as defined in section 2c, of quantities characterizing </w:t>
      </w:r>
      <w:r w:rsidR="00FD1618">
        <w:t xml:space="preserve">the four skill categories of ACs </w:t>
      </w:r>
      <w:r w:rsidR="00FD1618" w:rsidRPr="00037BB1">
        <w:t xml:space="preserve">based on </w:t>
      </w:r>
      <w:r w:rsidR="00FD1618">
        <w:t>intensity</w:t>
      </w:r>
      <w:r w:rsidR="00FD1618" w:rsidRPr="00037BB1">
        <w:t xml:space="preserve"> RMSE for the 5-day lead time</w:t>
      </w:r>
      <w:r w:rsidR="00BB0725">
        <w:t>, which were introduced in section 2d,</w:t>
      </w:r>
      <w:r w:rsidR="00816C90">
        <w:t xml:space="preserve"> </w:t>
      </w:r>
      <w:r w:rsidR="00FC537F">
        <w:t xml:space="preserve">are now </w:t>
      </w:r>
      <w:r w:rsidR="0032198A">
        <w:t>examined</w:t>
      </w:r>
      <w:r w:rsidR="00FC537F">
        <w:t>. The</w:t>
      </w:r>
      <w:r w:rsidR="00BB0725">
        <w:t>se</w:t>
      </w:r>
      <w:r w:rsidR="00FC537F">
        <w:t xml:space="preserve"> four skill categories</w:t>
      </w:r>
      <w:r w:rsidR="00816C90">
        <w:t xml:space="preserve"> </w:t>
      </w:r>
      <w:r w:rsidR="00FC537F">
        <w:t xml:space="preserve">are: </w:t>
      </w:r>
      <w:r w:rsidR="00FD1618">
        <w:t>low-skill ACs during low-skill periods, high-skill ACs during low-skill periods, low-skill ACs during high-skill periods, and high-skill ACs during high-skill periods.</w:t>
      </w:r>
      <w:r w:rsidR="00FC537F" w:rsidRPr="00FC537F">
        <w:t xml:space="preserve"> </w:t>
      </w:r>
      <w:r w:rsidR="00FC537F">
        <w:t>L</w:t>
      </w:r>
      <w:r w:rsidR="00FC537F" w:rsidRPr="00074782">
        <w:t>ow-skill ACs during low-skill periods tend to be</w:t>
      </w:r>
      <w:r w:rsidR="00846B8B">
        <w:t xml:space="preserve"> statistically significantly</w:t>
      </w:r>
      <w:r w:rsidR="00FC537F" w:rsidRPr="00074782">
        <w:t xml:space="preserve"> </w:t>
      </w:r>
      <w:r w:rsidR="00FC537F">
        <w:t>stronger (Fig. 1</w:t>
      </w:r>
      <w:r w:rsidR="00F15E14">
        <w:t>2</w:t>
      </w:r>
      <w:r w:rsidR="00FC537F" w:rsidRPr="00074782">
        <w:t>a)</w:t>
      </w:r>
      <w:r w:rsidR="00FC537F">
        <w:t>,</w:t>
      </w:r>
      <w:r w:rsidR="00FC537F" w:rsidRPr="00074782">
        <w:t xml:space="preserve"> and tend to be </w:t>
      </w:r>
      <w:r w:rsidR="00FC537F">
        <w:t>located</w:t>
      </w:r>
      <w:r w:rsidR="00FC537F" w:rsidRPr="00074782">
        <w:t xml:space="preserve"> in regions characterized by</w:t>
      </w:r>
      <w:r w:rsidR="00846B8B">
        <w:t xml:space="preserve"> statistically significantly</w:t>
      </w:r>
      <w:r w:rsidR="00FC537F" w:rsidRPr="00074782">
        <w:t xml:space="preserve"> </w:t>
      </w:r>
      <w:r w:rsidR="00FC537F">
        <w:t>stronger lower-tropospheric flow (Fig. 1</w:t>
      </w:r>
      <w:r w:rsidR="00F15E14">
        <w:t>2</w:t>
      </w:r>
      <w:r w:rsidR="00FC537F" w:rsidRPr="00074782">
        <w:t xml:space="preserve">b), </w:t>
      </w:r>
      <w:r w:rsidR="00BC55C9">
        <w:t xml:space="preserve">statistically significantly </w:t>
      </w:r>
      <w:r w:rsidR="00403C5C">
        <w:t xml:space="preserve">stronger </w:t>
      </w:r>
      <w:r w:rsidR="00FC537F" w:rsidRPr="00074782">
        <w:t>lower-trop</w:t>
      </w:r>
      <w:r w:rsidR="00FC537F">
        <w:t>ospheric baroclinicity (Fig. 1</w:t>
      </w:r>
      <w:r w:rsidR="00F15E14">
        <w:t>2</w:t>
      </w:r>
      <w:r w:rsidR="00FC537F" w:rsidRPr="00074782">
        <w:t xml:space="preserve">c), and </w:t>
      </w:r>
      <w:r w:rsidR="00BC55C9">
        <w:t xml:space="preserve">statistically significantly </w:t>
      </w:r>
      <w:r w:rsidR="00FC537F" w:rsidRPr="00074782">
        <w:t>larger lower-to-</w:t>
      </w:r>
      <w:proofErr w:type="spellStart"/>
      <w:r w:rsidR="00FC537F" w:rsidRPr="00074782">
        <w:t>midtropospheric</w:t>
      </w:r>
      <w:proofErr w:type="spellEnd"/>
      <w:r w:rsidR="00FC537F" w:rsidRPr="00074782">
        <w:t xml:space="preserve"> </w:t>
      </w:r>
      <w:r w:rsidR="00FC537F">
        <w:t>EGR (Fig. 1</w:t>
      </w:r>
      <w:r w:rsidR="00F15E14">
        <w:t>2</w:t>
      </w:r>
      <w:r w:rsidR="00FC537F" w:rsidRPr="00074782">
        <w:t>d)</w:t>
      </w:r>
      <w:r w:rsidR="00FC537F">
        <w:t>,</w:t>
      </w:r>
      <w:r w:rsidR="00FC537F" w:rsidRPr="00074782">
        <w:t xml:space="preserve"> compared to high-skill ACs during low-skill periods.</w:t>
      </w:r>
      <w:r w:rsidR="00FC537F" w:rsidRPr="00FC537F">
        <w:t xml:space="preserve"> </w:t>
      </w:r>
      <w:r w:rsidR="00FC537F">
        <w:t>L</w:t>
      </w:r>
      <w:r w:rsidR="00FC537F" w:rsidRPr="00074782">
        <w:t>ow-skill ACs during high-skill perio</w:t>
      </w:r>
      <w:r w:rsidR="00FC537F">
        <w:t>ds tend to be</w:t>
      </w:r>
      <w:r w:rsidR="00846B8B">
        <w:t xml:space="preserve"> statistically significantly</w:t>
      </w:r>
      <w:r w:rsidR="00FC537F">
        <w:t xml:space="preserve"> stronger (Fig. 1</w:t>
      </w:r>
      <w:r w:rsidR="00F15E14">
        <w:t>2</w:t>
      </w:r>
      <w:r w:rsidR="00FC537F" w:rsidRPr="00074782">
        <w:t>a)</w:t>
      </w:r>
      <w:r w:rsidR="00FC537F">
        <w:t>,</w:t>
      </w:r>
      <w:r w:rsidR="00FC537F" w:rsidRPr="00074782">
        <w:t xml:space="preserve"> and tend to be </w:t>
      </w:r>
      <w:r w:rsidR="00FC537F">
        <w:t>located</w:t>
      </w:r>
      <w:r w:rsidR="00FC537F" w:rsidRPr="00074782">
        <w:t xml:space="preserve"> in regions characterized by</w:t>
      </w:r>
      <w:r w:rsidR="00846B8B">
        <w:t xml:space="preserve"> statistically significantly</w:t>
      </w:r>
      <w:r w:rsidR="00FC537F" w:rsidRPr="00074782">
        <w:t xml:space="preserve"> </w:t>
      </w:r>
      <w:r w:rsidR="00FC537F">
        <w:t>stronger lower-tropospheric flow (Fig. 1</w:t>
      </w:r>
      <w:r w:rsidR="00F15E14">
        <w:t>2</w:t>
      </w:r>
      <w:r w:rsidR="00FC537F" w:rsidRPr="00074782">
        <w:t>b)</w:t>
      </w:r>
      <w:r w:rsidR="002D5271">
        <w:t xml:space="preserve">, </w:t>
      </w:r>
      <w:r w:rsidR="00FC537F" w:rsidRPr="00074782">
        <w:t>compared to high-skill ACs during high-skill periods.</w:t>
      </w:r>
    </w:p>
    <w:p w14:paraId="0DB267DE" w14:textId="77777777" w:rsidR="00C536B2" w:rsidRDefault="00C536B2" w:rsidP="00FD1618"/>
    <w:p w14:paraId="235D102B" w14:textId="01E72770" w:rsidR="00C536B2" w:rsidRDefault="002058CE" w:rsidP="00B92431">
      <w:pPr>
        <w:ind w:firstLine="0"/>
        <w:jc w:val="center"/>
      </w:pPr>
      <w:r>
        <w:rPr>
          <w:noProof/>
        </w:rPr>
        <w:lastRenderedPageBreak/>
        <w:drawing>
          <wp:inline distT="0" distB="0" distL="0" distR="0" wp14:anchorId="3BCE5431" wp14:editId="2823208B">
            <wp:extent cx="5731510" cy="5214620"/>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9"/>
                    <a:stretch>
                      <a:fillRect/>
                    </a:stretch>
                  </pic:blipFill>
                  <pic:spPr>
                    <a:xfrm>
                      <a:off x="0" y="0"/>
                      <a:ext cx="5731510" cy="5214620"/>
                    </a:xfrm>
                    <a:prstGeom prst="rect">
                      <a:avLst/>
                    </a:prstGeom>
                  </pic:spPr>
                </pic:pic>
              </a:graphicData>
            </a:graphic>
          </wp:inline>
        </w:drawing>
      </w:r>
    </w:p>
    <w:p w14:paraId="2CF05A68" w14:textId="256FA390" w:rsidR="00B92431" w:rsidRPr="00B92431" w:rsidRDefault="00B92431" w:rsidP="00B92431">
      <w:pPr>
        <w:tabs>
          <w:tab w:val="left" w:pos="1993"/>
        </w:tabs>
        <w:spacing w:before="0" w:after="0" w:line="240" w:lineRule="auto"/>
        <w:ind w:firstLine="0"/>
      </w:pPr>
      <w:r w:rsidRPr="00B92431">
        <w:t>Fig. 1</w:t>
      </w:r>
      <w:r w:rsidR="004F5FB4">
        <w:t>2</w:t>
      </w:r>
      <w:r w:rsidRPr="00B92431">
        <w:t>. Distributions of the most extreme value, as defined in section 2c, of quantities characterizing ACs during the 2007–2017 climatological period (gray), low-skill ACs during low-skill periods (red solid), high-skill ACs during low-skill periods (red hatched), low-skill ACs during high-skill periods (blue solid), and high-skill ACs during high-skill periods (blue hatched) when located within the Arctic during the respective periods. The selected quantities are (a) minimum SLP (</w:t>
      </w:r>
      <w:proofErr w:type="spellStart"/>
      <w:r w:rsidRPr="00B92431">
        <w:t>hPa</w:t>
      </w:r>
      <w:proofErr w:type="spellEnd"/>
      <w:r w:rsidRPr="00B92431">
        <w:t>), (b) area-averaged 850-hPa wind speed (m s</w:t>
      </w:r>
      <w:r w:rsidRPr="00B92431">
        <w:rPr>
          <w:vertAlign w:val="superscript"/>
        </w:rPr>
        <w:t>−1</w:t>
      </w:r>
      <w:r w:rsidRPr="00B92431">
        <w:t xml:space="preserve">), (c) area-averaged 850-hPa </w:t>
      </w:r>
      <w:r w:rsidRPr="00B92431">
        <w:rPr>
          <w:i/>
        </w:rPr>
        <w:t>θ</w:t>
      </w:r>
      <w:r w:rsidRPr="00B92431">
        <w:t xml:space="preserve"> gradient magnitude [K (100 </w:t>
      </w:r>
      <w:proofErr w:type="gramStart"/>
      <w:r w:rsidRPr="00B92431">
        <w:t>km)</w:t>
      </w:r>
      <w:r w:rsidRPr="00B92431">
        <w:rPr>
          <w:vertAlign w:val="superscript"/>
        </w:rPr>
        <w:t>−</w:t>
      </w:r>
      <w:proofErr w:type="gramEnd"/>
      <w:r w:rsidRPr="00B92431">
        <w:rPr>
          <w:vertAlign w:val="superscript"/>
        </w:rPr>
        <w:t>1</w:t>
      </w:r>
      <w:r w:rsidRPr="00B92431">
        <w:t>], and (d) area-averaged 850–600-hPa EGR (day</w:t>
      </w:r>
      <w:r w:rsidRPr="00B92431">
        <w:rPr>
          <w:vertAlign w:val="superscript"/>
        </w:rPr>
        <w:t>−1</w:t>
      </w:r>
      <w:r w:rsidRPr="00B92431">
        <w:t>). The quantities in (b)–(d) are area-averaged within a 1000-km radius from the centers of the ACs. Dots indicate the mean values, boxes indicate the IQR, and whiskers extend to the 5th and 95th percentiles. Gray, red, and blue stars indicate the minimum and maximum values of the distributions. Yellow stars indicate statistical significance at the 95% confidence level of the mean values of the quantities for low-skill ACs during low-skill periods</w:t>
      </w:r>
      <w:r w:rsidR="002B4717">
        <w:t>, high-skill ACs during low-skill periods, low-skill ACs during high-skill periods, and</w:t>
      </w:r>
      <w:r w:rsidRPr="00B92431">
        <w:t xml:space="preserve"> high-skill ACs during high-skill periods with respect to the mean values of the quantities for ACs during the 2007–2017 climatological period. Pink stars indicate statistical significance at the 95% confidence level between the mean values of the quantities for low-skill ACs during low-skill periods and the mean values of the quantities for high-skill ACs during low-skill periods. Light blue stars indicate statistical significance at the 95% confidence level between </w:t>
      </w:r>
      <w:r w:rsidRPr="00B92431">
        <w:lastRenderedPageBreak/>
        <w:t>the mean values of the quantities for low-skill ACs during high-skill periods and the mean values of the quantities for high-skill ACs during high-skill periods.</w:t>
      </w:r>
    </w:p>
    <w:p w14:paraId="0E4252C8" w14:textId="77777777" w:rsidR="002B4717" w:rsidRDefault="002B4717" w:rsidP="00B92431">
      <w:pPr>
        <w:ind w:firstLine="0"/>
      </w:pPr>
    </w:p>
    <w:p w14:paraId="7A9B89B2" w14:textId="5544C836" w:rsidR="00546339" w:rsidRDefault="00546339" w:rsidP="00FD1618">
      <w:r w:rsidRPr="00074782">
        <w:t>The tendency for low-skill ACs</w:t>
      </w:r>
      <w:r>
        <w:t xml:space="preserve"> during low-skill periods</w:t>
      </w:r>
      <w:r w:rsidRPr="00074782">
        <w:t xml:space="preserve"> to be</w:t>
      </w:r>
      <w:r>
        <w:t xml:space="preserve"> statistically significantly</w:t>
      </w:r>
      <w:r w:rsidRPr="00074782">
        <w:t xml:space="preserve"> stronger than high-skill ACs</w:t>
      </w:r>
      <w:r>
        <w:t xml:space="preserve"> during low-skill periods and the tendency for low-skill ACs during high-skill periods to be</w:t>
      </w:r>
      <w:r w:rsidR="000832F2">
        <w:t xml:space="preserve"> statistically significantly</w:t>
      </w:r>
      <w:r>
        <w:t xml:space="preserve"> stronger than high-skill ACs during</w:t>
      </w:r>
      <w:r w:rsidRPr="00074782">
        <w:t xml:space="preserve"> high-skill periods </w:t>
      </w:r>
      <w:r>
        <w:t>are</w:t>
      </w:r>
      <w:r w:rsidRPr="00074782">
        <w:t xml:space="preserve"> consistent with</w:t>
      </w:r>
      <w:r>
        <w:t xml:space="preserve"> the </w:t>
      </w:r>
      <w:r w:rsidR="00B92DA3">
        <w:t>findings</w:t>
      </w:r>
      <w:r>
        <w:t xml:space="preserve"> of</w:t>
      </w:r>
      <w:r w:rsidRPr="00074782">
        <w:t xml:space="preserve"> </w:t>
      </w:r>
      <w:proofErr w:type="spellStart"/>
      <w:r w:rsidRPr="00074782">
        <w:t>Yamagami</w:t>
      </w:r>
      <w:proofErr w:type="spellEnd"/>
      <w:r w:rsidRPr="00074782">
        <w:t xml:space="preserve"> et al. (2019) and </w:t>
      </w:r>
      <w:proofErr w:type="spellStart"/>
      <w:r w:rsidRPr="00074782">
        <w:t>Capute</w:t>
      </w:r>
      <w:proofErr w:type="spellEnd"/>
      <w:r w:rsidRPr="00074782">
        <w:t xml:space="preserve"> and Torn (2021), wh</w:t>
      </w:r>
      <w:r>
        <w:t>o</w:t>
      </w:r>
      <w:r w:rsidRPr="00074782">
        <w:t xml:space="preserve"> both show that ACs with lower </w:t>
      </w:r>
      <w:r w:rsidR="00B176EA">
        <w:t>predictability</w:t>
      </w:r>
      <w:r w:rsidR="00245A8D">
        <w:t xml:space="preserve"> </w:t>
      </w:r>
      <w:r w:rsidR="00A672CD">
        <w:t xml:space="preserve">in terms </w:t>
      </w:r>
      <w:r w:rsidR="00245A8D">
        <w:t>of intensity tend to be stronger</w:t>
      </w:r>
      <w:r w:rsidRPr="00074782">
        <w:t xml:space="preserve">. The tendency for low-skill ACs </w:t>
      </w:r>
      <w:r>
        <w:t>during low-skill periods</w:t>
      </w:r>
      <w:r w:rsidR="00302134">
        <w:t xml:space="preserve"> to be located</w:t>
      </w:r>
      <w:r w:rsidRPr="00074782">
        <w:t xml:space="preserve"> in regions characterized by </w:t>
      </w:r>
      <w:r w:rsidR="000832F2">
        <w:t xml:space="preserve">statistically significantly </w:t>
      </w:r>
      <w:r w:rsidRPr="00074782">
        <w:t xml:space="preserve">larger </w:t>
      </w:r>
      <w:r>
        <w:t>lower-to-</w:t>
      </w:r>
      <w:proofErr w:type="spellStart"/>
      <w:r>
        <w:t>midtropospheric</w:t>
      </w:r>
      <w:proofErr w:type="spellEnd"/>
      <w:r>
        <w:t xml:space="preserve"> </w:t>
      </w:r>
      <w:r w:rsidR="00FC7843">
        <w:t>EGR</w:t>
      </w:r>
      <w:r>
        <w:t xml:space="preserve"> </w:t>
      </w:r>
      <w:r w:rsidRPr="00074782">
        <w:t xml:space="preserve">compared to high-skill ACs during low-skill </w:t>
      </w:r>
      <w:r>
        <w:t xml:space="preserve">periods </w:t>
      </w:r>
      <w:r w:rsidR="000832F2">
        <w:t>is</w:t>
      </w:r>
      <w:r w:rsidRPr="00074782">
        <w:t xml:space="preserve"> consistent with</w:t>
      </w:r>
      <w:r w:rsidR="00401073">
        <w:t xml:space="preserve"> the finding</w:t>
      </w:r>
      <w:r w:rsidR="00C60125">
        <w:t>s</w:t>
      </w:r>
      <w:r>
        <w:t xml:space="preserve"> of</w:t>
      </w:r>
      <w:r w:rsidRPr="00074782">
        <w:t xml:space="preserve"> </w:t>
      </w:r>
      <w:proofErr w:type="spellStart"/>
      <w:r w:rsidRPr="00074782">
        <w:t>Capute</w:t>
      </w:r>
      <w:proofErr w:type="spellEnd"/>
      <w:r w:rsidRPr="00074782">
        <w:t xml:space="preserve"> and Torn (2021). </w:t>
      </w:r>
      <w:r w:rsidR="002A3DAA">
        <w:t xml:space="preserve">As discussed in section 1, </w:t>
      </w:r>
      <w:proofErr w:type="spellStart"/>
      <w:r w:rsidRPr="00074782">
        <w:t>Capute</w:t>
      </w:r>
      <w:proofErr w:type="spellEnd"/>
      <w:r w:rsidRPr="00074782">
        <w:t xml:space="preserve"> and Torn (2021) find that </w:t>
      </w:r>
      <w:r w:rsidR="00650E48">
        <w:t>ACs characterized by low</w:t>
      </w:r>
      <w:r w:rsidR="00A672CD">
        <w:t>er</w:t>
      </w:r>
      <w:r w:rsidR="00650E48">
        <w:t xml:space="preserve"> </w:t>
      </w:r>
      <w:r w:rsidR="00B176EA">
        <w:t xml:space="preserve">predictability </w:t>
      </w:r>
      <w:r w:rsidR="00A672CD">
        <w:t>in terms of</w:t>
      </w:r>
      <w:r w:rsidR="00650E48">
        <w:t xml:space="preserve"> intensity</w:t>
      </w:r>
      <w:r w:rsidRPr="00074782">
        <w:t xml:space="preserve"> are typically </w:t>
      </w:r>
      <w:r w:rsidR="00302134">
        <w:t>located</w:t>
      </w:r>
      <w:r w:rsidRPr="00074782">
        <w:t xml:space="preserve"> in environments characterized by larger </w:t>
      </w:r>
      <w:r>
        <w:t>lower-to-</w:t>
      </w:r>
      <w:proofErr w:type="spellStart"/>
      <w:r>
        <w:t>midtropospheric</w:t>
      </w:r>
      <w:proofErr w:type="spellEnd"/>
      <w:r>
        <w:t xml:space="preserve"> </w:t>
      </w:r>
      <w:r w:rsidR="00FC7843">
        <w:t>EGR</w:t>
      </w:r>
      <w:r>
        <w:t xml:space="preserve"> </w:t>
      </w:r>
      <w:r w:rsidRPr="00074782">
        <w:t xml:space="preserve">compared to </w:t>
      </w:r>
      <w:r w:rsidR="00650E48">
        <w:t>ACs characterized by high</w:t>
      </w:r>
      <w:r w:rsidR="00A672CD">
        <w:t>er</w:t>
      </w:r>
      <w:r w:rsidR="00650E48">
        <w:t xml:space="preserve"> </w:t>
      </w:r>
      <w:r w:rsidR="00B176EA">
        <w:t>predictability</w:t>
      </w:r>
      <w:r w:rsidR="00650E48">
        <w:t xml:space="preserve"> </w:t>
      </w:r>
      <w:r w:rsidR="00A672CD">
        <w:t>in terms of</w:t>
      </w:r>
      <w:r w:rsidR="00650E48">
        <w:t xml:space="preserve"> intensity.</w:t>
      </w:r>
    </w:p>
    <w:p w14:paraId="57F6E3EE" w14:textId="37751CA2" w:rsidR="00B92431" w:rsidRDefault="00FC537F" w:rsidP="00846B8B">
      <w:r>
        <w:t>L</w:t>
      </w:r>
      <w:r w:rsidRPr="00074782">
        <w:t xml:space="preserve">ow-skill ACs during low-skill periods tend to be </w:t>
      </w:r>
      <w:r>
        <w:t>located</w:t>
      </w:r>
      <w:r w:rsidRPr="00074782">
        <w:t xml:space="preserve"> in regions characterized by </w:t>
      </w:r>
      <w:r w:rsidR="00846B8B">
        <w:t xml:space="preserve">statistically significantly </w:t>
      </w:r>
      <w:r w:rsidRPr="00074782">
        <w:t>stronger upper-t</w:t>
      </w:r>
      <w:r>
        <w:t>ropospheric divergence (Fig. 1</w:t>
      </w:r>
      <w:r w:rsidR="00F15E14">
        <w:t>3</w:t>
      </w:r>
      <w:r w:rsidRPr="00074782">
        <w:t xml:space="preserve">a), </w:t>
      </w:r>
      <w:r w:rsidR="00BC55C9">
        <w:t xml:space="preserve">statistically significantly </w:t>
      </w:r>
      <w:r w:rsidRPr="00074782">
        <w:t>stronger lower-to-</w:t>
      </w:r>
      <w:proofErr w:type="spellStart"/>
      <w:r>
        <w:t>midtropospheric</w:t>
      </w:r>
      <w:proofErr w:type="spellEnd"/>
      <w:r>
        <w:t xml:space="preserve"> ascent (Fig. 1</w:t>
      </w:r>
      <w:r w:rsidR="00F15E14">
        <w:t>3</w:t>
      </w:r>
      <w:r w:rsidRPr="00074782">
        <w:t xml:space="preserve">b), </w:t>
      </w:r>
      <w:r w:rsidR="00BC55C9">
        <w:t xml:space="preserve">statistically significantly </w:t>
      </w:r>
      <w:r>
        <w:t>stronger moisture transport (Fig. 1</w:t>
      </w:r>
      <w:r w:rsidR="00F15E14">
        <w:t>3</w:t>
      </w:r>
      <w:r w:rsidRPr="00074782">
        <w:t xml:space="preserve">c), and </w:t>
      </w:r>
      <w:r w:rsidR="00BC55C9">
        <w:t xml:space="preserve">statistically significantly </w:t>
      </w:r>
      <w:r>
        <w:t>larger latent heating (Fig. 1</w:t>
      </w:r>
      <w:r w:rsidR="00F15E14">
        <w:t>3</w:t>
      </w:r>
      <w:r w:rsidRPr="00074782">
        <w:t>d) compared to high-skill ACs during low-skill periods.</w:t>
      </w:r>
      <w:r w:rsidRPr="00FC537F">
        <w:t xml:space="preserve"> </w:t>
      </w:r>
      <w:r>
        <w:t>L</w:t>
      </w:r>
      <w:r w:rsidR="006D2FDB">
        <w:t>ow-skill ACs during high-</w:t>
      </w:r>
      <w:r w:rsidRPr="00074782">
        <w:t xml:space="preserve">skill periods tend to be </w:t>
      </w:r>
      <w:r>
        <w:t>located</w:t>
      </w:r>
      <w:r w:rsidRPr="00074782">
        <w:t xml:space="preserve"> in regions characterized by</w:t>
      </w:r>
      <w:r w:rsidR="00846B8B">
        <w:t xml:space="preserve"> statistically significantly</w:t>
      </w:r>
      <w:r w:rsidRPr="00074782">
        <w:t xml:space="preserve"> stronger lower-to-</w:t>
      </w:r>
      <w:proofErr w:type="spellStart"/>
      <w:r>
        <w:t>midtropospheric</w:t>
      </w:r>
      <w:proofErr w:type="spellEnd"/>
      <w:r>
        <w:t xml:space="preserve"> ascent (Fig. 1</w:t>
      </w:r>
      <w:r w:rsidR="00F15E14">
        <w:t>3</w:t>
      </w:r>
      <w:r w:rsidRPr="00074782">
        <w:t>b)</w:t>
      </w:r>
      <w:r w:rsidR="000832F2">
        <w:t xml:space="preserve"> </w:t>
      </w:r>
      <w:r>
        <w:t xml:space="preserve">and </w:t>
      </w:r>
      <w:r w:rsidR="00BC55C9">
        <w:t xml:space="preserve">statistically significantly </w:t>
      </w:r>
      <w:r>
        <w:t>stronger</w:t>
      </w:r>
      <w:r w:rsidRPr="00074782">
        <w:t xml:space="preserve"> moistur</w:t>
      </w:r>
      <w:r>
        <w:t>e transport (Fig. 1</w:t>
      </w:r>
      <w:r w:rsidR="00F15E14">
        <w:t>3</w:t>
      </w:r>
      <w:r>
        <w:t>c</w:t>
      </w:r>
      <w:r w:rsidRPr="00074782">
        <w:t>) compared to high-skill ACs during high-skill periods.</w:t>
      </w:r>
      <w:r w:rsidRPr="00FC537F">
        <w:t xml:space="preserve"> </w:t>
      </w:r>
      <w:r>
        <w:t>Low-skill ACs during high-</w:t>
      </w:r>
      <w:r w:rsidR="005E6091">
        <w:t>skill periods</w:t>
      </w:r>
      <w:r w:rsidR="007D7A84">
        <w:t xml:space="preserve"> </w:t>
      </w:r>
      <w:r w:rsidR="00083772">
        <w:t xml:space="preserve">and high-skill ACs during high-skill periods </w:t>
      </w:r>
      <w:r w:rsidRPr="00074782">
        <w:t xml:space="preserve">tend to be </w:t>
      </w:r>
      <w:r>
        <w:t>located</w:t>
      </w:r>
      <w:r w:rsidRPr="00074782">
        <w:t xml:space="preserve"> in regions characterized</w:t>
      </w:r>
      <w:r w:rsidR="00144AA7">
        <w:t xml:space="preserve"> by</w:t>
      </w:r>
      <w:r w:rsidR="007D7A84">
        <w:t xml:space="preserve"> comparable</w:t>
      </w:r>
      <w:r w:rsidR="00ED16B5">
        <w:t xml:space="preserve"> </w:t>
      </w:r>
      <w:r w:rsidR="007D7A84">
        <w:t>latent heating</w:t>
      </w:r>
      <w:r w:rsidR="00ED16B5">
        <w:t xml:space="preserve"> (</w:t>
      </w:r>
      <w:r w:rsidR="00BC55C9">
        <w:t xml:space="preserve">i.e., </w:t>
      </w:r>
      <w:r w:rsidR="00ED16B5">
        <w:t>no statistically significant difference)</w:t>
      </w:r>
      <w:r>
        <w:t xml:space="preserve">, as suggested by the </w:t>
      </w:r>
      <w:r w:rsidR="00F5367F">
        <w:t>substantial</w:t>
      </w:r>
      <w:r>
        <w:t xml:space="preserve"> overlap of the </w:t>
      </w:r>
      <w:r w:rsidR="00491968">
        <w:t>distributions</w:t>
      </w:r>
      <w:r>
        <w:t xml:space="preserve"> of latent heating for low-skill ACs during high-skill periods and high-skill ACs during high-skill periods (Fig. 1</w:t>
      </w:r>
      <w:r w:rsidR="00F15E14">
        <w:t>3</w:t>
      </w:r>
      <w:r>
        <w:t>d).</w:t>
      </w:r>
      <w:r w:rsidR="00A76810">
        <w:t xml:space="preserve"> </w:t>
      </w:r>
      <w:r w:rsidR="00546339" w:rsidRPr="00546339">
        <w:t>The tendency for low-skill ACs during high-skill periods and high-skill ACs during h</w:t>
      </w:r>
      <w:r w:rsidR="00302134">
        <w:t>igh-skill periods to be located</w:t>
      </w:r>
      <w:r w:rsidR="00546339" w:rsidRPr="00546339">
        <w:t xml:space="preserve"> in regions characterized by comparable latent heating</w:t>
      </w:r>
      <w:r w:rsidR="00144AA7">
        <w:t xml:space="preserve"> is consistent with the finding</w:t>
      </w:r>
      <w:r w:rsidR="00546339" w:rsidRPr="00546339">
        <w:t xml:space="preserve"> of </w:t>
      </w:r>
      <w:proofErr w:type="spellStart"/>
      <w:r w:rsidR="00546339" w:rsidRPr="00546339">
        <w:t>Capute</w:t>
      </w:r>
      <w:proofErr w:type="spellEnd"/>
      <w:r w:rsidR="00546339" w:rsidRPr="00546339">
        <w:t xml:space="preserve"> and Torn (2021</w:t>
      </w:r>
      <w:r w:rsidR="000102AE">
        <w:t>) of no</w:t>
      </w:r>
      <w:r w:rsidR="00144AA7">
        <w:t xml:space="preserve"> </w:t>
      </w:r>
      <w:r w:rsidR="00546339" w:rsidRPr="00546339">
        <w:t>systematic difference in latent heating between</w:t>
      </w:r>
      <w:r w:rsidR="00650E48">
        <w:t xml:space="preserve"> ACs characterized by low</w:t>
      </w:r>
      <w:r w:rsidR="00A672CD">
        <w:t>er</w:t>
      </w:r>
      <w:r w:rsidR="00650E48">
        <w:t xml:space="preserve"> </w:t>
      </w:r>
      <w:r w:rsidR="00B176EA">
        <w:t>predictability</w:t>
      </w:r>
      <w:r w:rsidR="000102AE">
        <w:t xml:space="preserve"> </w:t>
      </w:r>
      <w:r w:rsidR="00A672CD">
        <w:t xml:space="preserve">in terms </w:t>
      </w:r>
      <w:r w:rsidR="000102AE">
        <w:t>of intensity</w:t>
      </w:r>
      <w:r w:rsidR="00650E48">
        <w:t xml:space="preserve"> </w:t>
      </w:r>
      <w:r w:rsidR="00144AA7">
        <w:t>and</w:t>
      </w:r>
      <w:r w:rsidR="00650E48">
        <w:t xml:space="preserve"> ACs characterized by high</w:t>
      </w:r>
      <w:r w:rsidR="00A672CD">
        <w:t>er</w:t>
      </w:r>
      <w:r w:rsidR="00650E48">
        <w:t xml:space="preserve"> </w:t>
      </w:r>
      <w:r w:rsidR="00B176EA">
        <w:t>predictability</w:t>
      </w:r>
      <w:r w:rsidR="00650E48">
        <w:t xml:space="preserve"> </w:t>
      </w:r>
      <w:r w:rsidR="00A672CD">
        <w:t xml:space="preserve">in terms </w:t>
      </w:r>
      <w:r w:rsidR="00650E48">
        <w:t>of intensity</w:t>
      </w:r>
      <w:r w:rsidR="00546339" w:rsidRPr="00546339">
        <w:t xml:space="preserve">. </w:t>
      </w:r>
      <w:r w:rsidR="002A3DAA">
        <w:t>However, the</w:t>
      </w:r>
      <w:r w:rsidR="00546339" w:rsidRPr="00546339">
        <w:t xml:space="preserve"> tendency for low-skill ACs during </w:t>
      </w:r>
      <w:r w:rsidR="00302134">
        <w:t>low-skill periods to be located</w:t>
      </w:r>
      <w:r w:rsidR="00546339" w:rsidRPr="00546339">
        <w:t xml:space="preserve"> in regions characterized by statistically </w:t>
      </w:r>
      <w:r w:rsidR="00546339" w:rsidRPr="00546339">
        <w:lastRenderedPageBreak/>
        <w:t xml:space="preserve">significantly larger latent heating compared to high-skill ACs during low-skill periods is not consistent with the aforementioned finding from </w:t>
      </w:r>
      <w:proofErr w:type="spellStart"/>
      <w:r w:rsidR="00546339" w:rsidRPr="00546339">
        <w:t>Capute</w:t>
      </w:r>
      <w:proofErr w:type="spellEnd"/>
      <w:r w:rsidR="00546339" w:rsidRPr="00546339">
        <w:t xml:space="preserve"> and Torn (2021).</w:t>
      </w:r>
      <w:r w:rsidR="00650E48">
        <w:t xml:space="preserve"> </w:t>
      </w:r>
      <w:r w:rsidR="00EE6E83">
        <w:tab/>
      </w:r>
    </w:p>
    <w:p w14:paraId="6F29DB1E" w14:textId="77777777" w:rsidR="00B21A26" w:rsidRPr="00EE6E83" w:rsidRDefault="00B21A26" w:rsidP="00EE6E83"/>
    <w:p w14:paraId="1B6DFC9A" w14:textId="37E1D120" w:rsidR="00B92431" w:rsidRDefault="002058CE" w:rsidP="00B92431">
      <w:pPr>
        <w:ind w:firstLine="0"/>
        <w:jc w:val="center"/>
      </w:pPr>
      <w:r>
        <w:rPr>
          <w:noProof/>
        </w:rPr>
        <w:drawing>
          <wp:inline distT="0" distB="0" distL="0" distR="0" wp14:anchorId="3DB1DA01" wp14:editId="3AD824F5">
            <wp:extent cx="5731510" cy="521462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0"/>
                    <a:stretch>
                      <a:fillRect/>
                    </a:stretch>
                  </pic:blipFill>
                  <pic:spPr>
                    <a:xfrm>
                      <a:off x="0" y="0"/>
                      <a:ext cx="5731510" cy="5214620"/>
                    </a:xfrm>
                    <a:prstGeom prst="rect">
                      <a:avLst/>
                    </a:prstGeom>
                  </pic:spPr>
                </pic:pic>
              </a:graphicData>
            </a:graphic>
          </wp:inline>
        </w:drawing>
      </w:r>
    </w:p>
    <w:p w14:paraId="518C98F0" w14:textId="72E43EFC" w:rsidR="00B92431" w:rsidRPr="00B92431" w:rsidRDefault="00B92431" w:rsidP="00B92431">
      <w:pPr>
        <w:tabs>
          <w:tab w:val="left" w:pos="1993"/>
        </w:tabs>
        <w:spacing w:before="0" w:after="0" w:line="240" w:lineRule="auto"/>
        <w:ind w:firstLine="0"/>
      </w:pPr>
      <w:r w:rsidRPr="00B92431">
        <w:t>Fig. 1</w:t>
      </w:r>
      <w:r w:rsidR="004F5FB4">
        <w:t>3</w:t>
      </w:r>
      <w:r w:rsidRPr="00B92431">
        <w:t>. As in Fig. 1</w:t>
      </w:r>
      <w:r w:rsidR="004F5FB4">
        <w:t>2</w:t>
      </w:r>
      <w:r w:rsidRPr="00B92431">
        <w:t>, but for (a) area-averaged positive values of 350–250-hPa divergence (10</w:t>
      </w:r>
      <w:r w:rsidRPr="00B92431">
        <w:rPr>
          <w:vertAlign w:val="superscript"/>
        </w:rPr>
        <w:t>−6</w:t>
      </w:r>
      <w:r w:rsidRPr="00B92431">
        <w:t xml:space="preserve"> s</w:t>
      </w:r>
      <w:r w:rsidRPr="00B92431">
        <w:rPr>
          <w:vertAlign w:val="superscript"/>
        </w:rPr>
        <w:t>−1</w:t>
      </w:r>
      <w:r w:rsidRPr="00B92431">
        <w:t xml:space="preserve">), (b) area-averaged negative values of 800–600-hPa </w:t>
      </w:r>
      <w:r w:rsidRPr="00B92431">
        <w:rPr>
          <w:i/>
        </w:rPr>
        <w:t>ω</w:t>
      </w:r>
      <w:r w:rsidRPr="00B92431">
        <w:t xml:space="preserve"> (10</w:t>
      </w:r>
      <w:r w:rsidRPr="00B92431">
        <w:rPr>
          <w:vertAlign w:val="superscript"/>
        </w:rPr>
        <w:t>−3</w:t>
      </w:r>
      <w:r w:rsidRPr="00B92431">
        <w:t xml:space="preserve"> </w:t>
      </w:r>
      <w:proofErr w:type="spellStart"/>
      <w:r w:rsidRPr="00B92431">
        <w:t>hPa</w:t>
      </w:r>
      <w:proofErr w:type="spellEnd"/>
      <w:r w:rsidRPr="00B92431">
        <w:t xml:space="preserve"> s</w:t>
      </w:r>
      <w:r w:rsidRPr="00B92431">
        <w:rPr>
          <w:vertAlign w:val="superscript"/>
        </w:rPr>
        <w:t>−1</w:t>
      </w:r>
      <w:r w:rsidRPr="00B92431">
        <w:t>), (c) area-averaged 1000–300-hPa IVT (kg m</w:t>
      </w:r>
      <w:r w:rsidRPr="00B92431">
        <w:rPr>
          <w:vertAlign w:val="superscript"/>
        </w:rPr>
        <w:t>−1</w:t>
      </w:r>
      <w:r w:rsidRPr="00B92431">
        <w:t xml:space="preserve"> s</w:t>
      </w:r>
      <w:r w:rsidRPr="00B92431">
        <w:rPr>
          <w:vertAlign w:val="superscript"/>
        </w:rPr>
        <w:t>−1</w:t>
      </w:r>
      <w:r w:rsidRPr="00B92431">
        <w:t>), and (d) area-averaged positive values of 1000–300-hPa IMFC (W m</w:t>
      </w:r>
      <w:r w:rsidRPr="00B92431">
        <w:rPr>
          <w:vertAlign w:val="superscript"/>
        </w:rPr>
        <w:t>−2</w:t>
      </w:r>
      <w:r w:rsidRPr="00B92431">
        <w:t>). The quantities in (a)–(d) are area-averaged within a 1000-km radius from the centers of the ACs.</w:t>
      </w:r>
    </w:p>
    <w:p w14:paraId="1A68F35A" w14:textId="77777777" w:rsidR="00B92431" w:rsidRDefault="00B92431" w:rsidP="00B92431">
      <w:pPr>
        <w:ind w:firstLine="0"/>
      </w:pPr>
    </w:p>
    <w:p w14:paraId="3119A9EB" w14:textId="7EBBC152" w:rsidR="00FC537F" w:rsidRDefault="00A0550C" w:rsidP="00F61AC0">
      <w:r>
        <w:t>W</w:t>
      </w:r>
      <w:r w:rsidR="00D12227">
        <w:t>hen comp</w:t>
      </w:r>
      <w:r w:rsidR="004867E6">
        <w:t>ared to ACs during</w:t>
      </w:r>
      <w:r w:rsidR="008E4198">
        <w:t xml:space="preserve"> </w:t>
      </w:r>
      <w:r w:rsidR="00AA7A37">
        <w:rPr>
          <w:color w:val="202122"/>
          <w:shd w:val="clear" w:color="auto" w:fill="FFFFFF"/>
        </w:rPr>
        <w:t xml:space="preserve">the 2007–2017 </w:t>
      </w:r>
      <w:r w:rsidR="00AA7A37">
        <w:t>climatological period</w:t>
      </w:r>
      <w:r w:rsidR="00D12227">
        <w:t xml:space="preserve">, there </w:t>
      </w:r>
      <w:r w:rsidR="007F3761">
        <w:t xml:space="preserve">is </w:t>
      </w:r>
      <w:r w:rsidR="00D12227">
        <w:t>statistical significan</w:t>
      </w:r>
      <w:r w:rsidR="00315F7B">
        <w:t>ce</w:t>
      </w:r>
      <w:r w:rsidR="00D12227">
        <w:t xml:space="preserve"> in the mean values of all quantities shown in Figs. 1</w:t>
      </w:r>
      <w:r w:rsidR="00F15E14">
        <w:t>2</w:t>
      </w:r>
      <w:r w:rsidR="00D12227">
        <w:t xml:space="preserve"> and 1</w:t>
      </w:r>
      <w:r w:rsidR="00F15E14">
        <w:t>3</w:t>
      </w:r>
      <w:r w:rsidR="007F3761">
        <w:t xml:space="preserve"> for low-skill ACs during low-skill periods</w:t>
      </w:r>
      <w:r w:rsidR="00D12227">
        <w:t xml:space="preserve">. </w:t>
      </w:r>
      <w:r w:rsidR="00F372B2">
        <w:t>L</w:t>
      </w:r>
      <w:r w:rsidR="00FC537F">
        <w:t xml:space="preserve">ow-skill ACs during low-skill periods are characterized by </w:t>
      </w:r>
      <w:r w:rsidR="00F372B2">
        <w:t>low forecast skill of intensity</w:t>
      </w:r>
      <w:r w:rsidR="00FC537F">
        <w:t>.</w:t>
      </w:r>
      <w:r w:rsidR="00FC537F" w:rsidRPr="00FC537F">
        <w:t xml:space="preserve"> </w:t>
      </w:r>
      <w:r w:rsidR="00D12227">
        <w:t>It is e</w:t>
      </w:r>
      <w:r w:rsidR="00FC537F" w:rsidRPr="00C7207A">
        <w:t>xpect</w:t>
      </w:r>
      <w:r w:rsidR="00FC537F">
        <w:t>ed</w:t>
      </w:r>
      <w:r w:rsidR="00FC537F" w:rsidRPr="00C7207A">
        <w:t xml:space="preserve"> that relatively large forecast errors that may be </w:t>
      </w:r>
      <w:r w:rsidR="00FC537F" w:rsidRPr="00C7207A">
        <w:lastRenderedPageBreak/>
        <w:t xml:space="preserve">associated with relatively </w:t>
      </w:r>
      <w:r w:rsidR="00403C5C">
        <w:t>strong</w:t>
      </w:r>
      <w:r w:rsidR="00FC537F" w:rsidRPr="00C7207A">
        <w:t xml:space="preserve"> lower-tropospheric baroclinicity, relatively large lower-to-</w:t>
      </w:r>
      <w:proofErr w:type="spellStart"/>
      <w:r w:rsidR="00FC537F" w:rsidRPr="00C7207A">
        <w:t>midtropospheric</w:t>
      </w:r>
      <w:proofErr w:type="spellEnd"/>
      <w:r w:rsidR="00FC537F" w:rsidRPr="00C7207A">
        <w:t xml:space="preserve"> EGR, and relatively large latent heating in the vicinity of low-skill ACs during low-skill periods may help explain the low forecast skill of intensity of low-skill ACs during low-skill periods</w:t>
      </w:r>
      <w:r w:rsidR="00FC537F" w:rsidRPr="00B43415">
        <w:t>.</w:t>
      </w:r>
      <w:r w:rsidR="004528F7">
        <w:t xml:space="preserve"> </w:t>
      </w:r>
    </w:p>
    <w:p w14:paraId="7323BD63" w14:textId="540E59C6" w:rsidR="00183528" w:rsidRDefault="004528F7" w:rsidP="00183528">
      <w:r>
        <w:t>W</w:t>
      </w:r>
      <w:r w:rsidRPr="00B43415">
        <w:t>hen considering the four skill categories of ACs based on position RMSE for the 5-day lead time (not shown), there are no statistically significant differences in the quantities shown in Figs. 1</w:t>
      </w:r>
      <w:r w:rsidR="00F15E14">
        <w:t>2</w:t>
      </w:r>
      <w:r w:rsidRPr="00B43415">
        <w:t xml:space="preserve"> </w:t>
      </w:r>
      <w:r w:rsidR="001E714D">
        <w:t xml:space="preserve">and </w:t>
      </w:r>
      <w:r w:rsidRPr="00B43415">
        <w:t>1</w:t>
      </w:r>
      <w:r w:rsidR="00F15E14">
        <w:t>3</w:t>
      </w:r>
      <w:r w:rsidRPr="00B43415">
        <w:t xml:space="preserve"> between low-skill ACs during low-skill periods and high-skill ACs during low-skill periods, and between low-skill ACs during high-skill periods and high-skill ACs during high-skill periods.</w:t>
      </w:r>
      <w:r w:rsidRPr="004528F7">
        <w:t xml:space="preserve"> </w:t>
      </w:r>
      <w:r w:rsidR="00ED6C5F">
        <w:t xml:space="preserve">Similarly, </w:t>
      </w:r>
      <w:proofErr w:type="spellStart"/>
      <w:r w:rsidRPr="00B43415">
        <w:t>Capute</w:t>
      </w:r>
      <w:proofErr w:type="spellEnd"/>
      <w:r w:rsidRPr="00B43415">
        <w:t xml:space="preserve"> and Torn (2021) indicate that ACs characterized by low</w:t>
      </w:r>
      <w:r w:rsidR="00A672CD">
        <w:t>er</w:t>
      </w:r>
      <w:r w:rsidRPr="00B43415">
        <w:t xml:space="preserve"> </w:t>
      </w:r>
      <w:r w:rsidR="00B3402C">
        <w:t>predictability</w:t>
      </w:r>
      <w:r w:rsidRPr="00B43415">
        <w:t xml:space="preserve"> </w:t>
      </w:r>
      <w:r w:rsidR="00A672CD">
        <w:t xml:space="preserve">in terms </w:t>
      </w:r>
      <w:r w:rsidRPr="00B43415">
        <w:t>of position and ACs characterized by high</w:t>
      </w:r>
      <w:r w:rsidR="00A672CD">
        <w:t>er</w:t>
      </w:r>
      <w:r w:rsidRPr="00B43415">
        <w:t xml:space="preserve"> </w:t>
      </w:r>
      <w:r w:rsidR="00B3402C">
        <w:t>predictability</w:t>
      </w:r>
      <w:r w:rsidRPr="00B43415">
        <w:t xml:space="preserve"> </w:t>
      </w:r>
      <w:r w:rsidR="00A672CD">
        <w:t xml:space="preserve">in terms </w:t>
      </w:r>
      <w:r w:rsidRPr="00B43415">
        <w:t xml:space="preserve">of position are not associated with </w:t>
      </w:r>
      <w:r w:rsidR="00491C8C">
        <w:t>substantial</w:t>
      </w:r>
      <w:r w:rsidR="002C42D0">
        <w:t xml:space="preserve"> differences </w:t>
      </w:r>
      <w:r w:rsidR="00F5367F">
        <w:t xml:space="preserve">in </w:t>
      </w:r>
      <w:r w:rsidRPr="00B43415">
        <w:t xml:space="preserve">environmental </w:t>
      </w:r>
      <w:r w:rsidR="00832EAF">
        <w:t>properties</w:t>
      </w:r>
      <w:r w:rsidRPr="00B43415">
        <w:t>.</w:t>
      </w:r>
      <w:r w:rsidR="00AA1209">
        <w:t xml:space="preserve"> </w:t>
      </w:r>
      <w:bookmarkStart w:id="4" w:name="_Hlk118465285"/>
      <w:r w:rsidR="00AA1209">
        <w:t>The</w:t>
      </w:r>
      <w:r w:rsidR="00AA1209" w:rsidRPr="00B43415">
        <w:t xml:space="preserve"> forecast skill of the </w:t>
      </w:r>
      <w:r w:rsidR="00F5367F">
        <w:t xml:space="preserve">position of ACs is likely less sensitive </w:t>
      </w:r>
      <w:r w:rsidR="00317A38" w:rsidRPr="00B43415">
        <w:t xml:space="preserve">to the </w:t>
      </w:r>
      <w:r w:rsidR="004A2919">
        <w:t>conduciveness</w:t>
      </w:r>
      <w:r w:rsidR="00317A38" w:rsidRPr="00B43415">
        <w:t xml:space="preserve"> of the environment </w:t>
      </w:r>
      <w:r w:rsidR="00317A38">
        <w:t>to</w:t>
      </w:r>
      <w:r w:rsidR="00317A38" w:rsidRPr="00B43415">
        <w:t xml:space="preserve"> AC development and intensification</w:t>
      </w:r>
      <w:r w:rsidR="00317A38">
        <w:t xml:space="preserve"> </w:t>
      </w:r>
      <w:r w:rsidR="00F5367F">
        <w:t xml:space="preserve">than the forecast skill of the </w:t>
      </w:r>
      <w:r w:rsidR="00AA1209" w:rsidRPr="00B43415">
        <w:t>intensity of ACs.</w:t>
      </w:r>
    </w:p>
    <w:bookmarkEnd w:id="4"/>
    <w:p w14:paraId="083977DD" w14:textId="77777777" w:rsidR="00183528" w:rsidRPr="00183528" w:rsidRDefault="00183528" w:rsidP="00183528"/>
    <w:p w14:paraId="03A21979" w14:textId="6499F23C" w:rsidR="00F52648" w:rsidRPr="003E64F4" w:rsidRDefault="00F52648" w:rsidP="00F52648">
      <w:pPr>
        <w:pStyle w:val="H1"/>
        <w:rPr>
          <w:szCs w:val="24"/>
        </w:rPr>
      </w:pPr>
      <w:r w:rsidRPr="003E64F4">
        <w:rPr>
          <w:szCs w:val="24"/>
        </w:rPr>
        <w:t>4. Summary</w:t>
      </w:r>
    </w:p>
    <w:p w14:paraId="0FB24DB1" w14:textId="6E141001" w:rsidR="00F52648" w:rsidRDefault="00525733" w:rsidP="00F52648">
      <w:pPr>
        <w:pStyle w:val="ParagraphText"/>
      </w:pPr>
      <w:r>
        <w:rPr>
          <w:szCs w:val="24"/>
        </w:rPr>
        <w:t>A</w:t>
      </w:r>
      <w:r>
        <w:t xml:space="preserve">lthough there has been </w:t>
      </w:r>
      <w:r w:rsidR="00B73BBA">
        <w:t>previous research that has</w:t>
      </w:r>
      <w:r>
        <w:t xml:space="preserve"> examined the forecast skill of the synoptic-scale flow over the Arctic</w:t>
      </w:r>
      <w:r w:rsidR="00F372B2">
        <w:t xml:space="preserve"> (e.g., </w:t>
      </w:r>
      <w:r w:rsidR="007363E5">
        <w:t xml:space="preserve">Jung and </w:t>
      </w:r>
      <w:proofErr w:type="spellStart"/>
      <w:r w:rsidR="007363E5">
        <w:t>Leutbecher</w:t>
      </w:r>
      <w:proofErr w:type="spellEnd"/>
      <w:r w:rsidR="007363E5">
        <w:t xml:space="preserve"> 2007; Bauer et al. 2016; </w:t>
      </w:r>
      <w:r w:rsidR="00F372B2">
        <w:t xml:space="preserve">Jung and </w:t>
      </w:r>
      <w:proofErr w:type="spellStart"/>
      <w:r w:rsidR="00F372B2">
        <w:t>Matsueda</w:t>
      </w:r>
      <w:proofErr w:type="spellEnd"/>
      <w:r w:rsidR="00F372B2">
        <w:t xml:space="preserve"> 2016; </w:t>
      </w:r>
      <w:proofErr w:type="spellStart"/>
      <w:r w:rsidR="00F372B2">
        <w:t>Sandu</w:t>
      </w:r>
      <w:proofErr w:type="spellEnd"/>
      <w:r w:rsidR="00F372B2">
        <w:t xml:space="preserve"> and Bauer 2018)</w:t>
      </w:r>
      <w:r>
        <w:t>, there</w:t>
      </w:r>
      <w:r w:rsidR="00984C59">
        <w:t xml:space="preserve"> has been a dearth</w:t>
      </w:r>
      <w:r w:rsidRPr="00777238">
        <w:t xml:space="preserve"> of research </w:t>
      </w:r>
      <w:r>
        <w:t>that has examined Arctic environmental conditions</w:t>
      </w:r>
      <w:r w:rsidR="007A0E09">
        <w:t xml:space="preserve"> </w:t>
      </w:r>
      <w:r w:rsidR="00B73BBA">
        <w:t xml:space="preserve">during low-skill </w:t>
      </w:r>
      <w:r w:rsidR="009F514D">
        <w:t xml:space="preserve">periods </w:t>
      </w:r>
      <w:r w:rsidR="00B73BBA">
        <w:t>and high-skill periods</w:t>
      </w:r>
      <w:r w:rsidR="007363E5">
        <w:t xml:space="preserve">, with the exception of a recent study by </w:t>
      </w:r>
      <w:proofErr w:type="spellStart"/>
      <w:r w:rsidR="007363E5">
        <w:t>Yamagami</w:t>
      </w:r>
      <w:proofErr w:type="spellEnd"/>
      <w:r w:rsidR="007363E5">
        <w:t xml:space="preserve"> and </w:t>
      </w:r>
      <w:proofErr w:type="spellStart"/>
      <w:r w:rsidR="007363E5">
        <w:t>Matsueda</w:t>
      </w:r>
      <w:proofErr w:type="spellEnd"/>
      <w:r w:rsidR="007363E5">
        <w:t xml:space="preserve"> (2021)</w:t>
      </w:r>
      <w:r w:rsidR="00840259">
        <w:t xml:space="preserve">. </w:t>
      </w:r>
      <w:r w:rsidR="008F029B">
        <w:t>There</w:t>
      </w:r>
      <w:r w:rsidR="00745043">
        <w:t xml:space="preserve"> </w:t>
      </w:r>
      <w:r w:rsidR="0020750B">
        <w:t>also has</w:t>
      </w:r>
      <w:r w:rsidR="00745043">
        <w:t xml:space="preserve"> been </w:t>
      </w:r>
      <w:r w:rsidR="00833CB8">
        <w:t>limited</w:t>
      </w:r>
      <w:r w:rsidR="00745043">
        <w:t xml:space="preserve"> research on the predictability of ACs, </w:t>
      </w:r>
      <w:r w:rsidR="008F029B">
        <w:t xml:space="preserve">though </w:t>
      </w:r>
      <w:r w:rsidR="00833CB8">
        <w:t>interest in the predictability of ACs</w:t>
      </w:r>
      <w:r w:rsidR="00745043">
        <w:t xml:space="preserve"> has </w:t>
      </w:r>
      <w:r w:rsidR="000153B6">
        <w:t xml:space="preserve">recently </w:t>
      </w:r>
      <w:r w:rsidR="00745043">
        <w:t xml:space="preserve">been increasing (e.g., </w:t>
      </w:r>
      <w:r w:rsidR="00833CB8">
        <w:rPr>
          <w:szCs w:val="24"/>
        </w:rPr>
        <w:t xml:space="preserve">Yamazaki et al. 2015; </w:t>
      </w:r>
      <w:proofErr w:type="spellStart"/>
      <w:r w:rsidR="00833CB8">
        <w:rPr>
          <w:szCs w:val="24"/>
        </w:rPr>
        <w:t>Yamagami</w:t>
      </w:r>
      <w:proofErr w:type="spellEnd"/>
      <w:r w:rsidR="00833CB8">
        <w:rPr>
          <w:szCs w:val="24"/>
        </w:rPr>
        <w:t xml:space="preserve"> et al. 2018</w:t>
      </w:r>
      <w:proofErr w:type="gramStart"/>
      <w:r w:rsidR="00833CB8">
        <w:rPr>
          <w:szCs w:val="24"/>
        </w:rPr>
        <w:t>a,b</w:t>
      </w:r>
      <w:proofErr w:type="gramEnd"/>
      <w:r w:rsidR="00833CB8">
        <w:rPr>
          <w:szCs w:val="24"/>
        </w:rPr>
        <w:t>, 2019</w:t>
      </w:r>
      <w:r w:rsidR="00745043">
        <w:rPr>
          <w:szCs w:val="24"/>
        </w:rPr>
        <w:t xml:space="preserve">; </w:t>
      </w:r>
      <w:proofErr w:type="spellStart"/>
      <w:r w:rsidR="00745043">
        <w:rPr>
          <w:szCs w:val="24"/>
        </w:rPr>
        <w:t>Capute</w:t>
      </w:r>
      <w:proofErr w:type="spellEnd"/>
      <w:r w:rsidR="00745043">
        <w:rPr>
          <w:szCs w:val="24"/>
        </w:rPr>
        <w:t xml:space="preserve"> and Torn 2021</w:t>
      </w:r>
      <w:r w:rsidR="00975F21">
        <w:rPr>
          <w:szCs w:val="24"/>
        </w:rPr>
        <w:t>; Johnson and Wang 2021</w:t>
      </w:r>
      <w:r w:rsidR="00745043">
        <w:rPr>
          <w:szCs w:val="24"/>
        </w:rPr>
        <w:t>)</w:t>
      </w:r>
      <w:r w:rsidR="00745043" w:rsidRPr="00B87508">
        <w:rPr>
          <w:szCs w:val="24"/>
        </w:rPr>
        <w:t>.</w:t>
      </w:r>
      <w:r w:rsidR="00745043">
        <w:rPr>
          <w:szCs w:val="24"/>
        </w:rPr>
        <w:t xml:space="preserve"> </w:t>
      </w:r>
      <w:r>
        <w:t>The present study</w:t>
      </w:r>
      <w:r w:rsidR="00B73BBA">
        <w:t xml:space="preserve"> </w:t>
      </w:r>
      <w:r w:rsidR="009F514D">
        <w:t>provides</w:t>
      </w:r>
      <w:r>
        <w:t xml:space="preserve"> </w:t>
      </w:r>
      <w:r w:rsidR="009F514D">
        <w:t xml:space="preserve">insights into how </w:t>
      </w:r>
      <w:r w:rsidR="00745043" w:rsidRPr="008F26A8">
        <w:t>characteristics of the Arctic environment</w:t>
      </w:r>
      <w:r w:rsidR="00984C59">
        <w:t>,</w:t>
      </w:r>
      <w:r w:rsidR="00745043" w:rsidRPr="008F26A8">
        <w:t xml:space="preserve"> and the frequency, characterist</w:t>
      </w:r>
      <w:r w:rsidR="00745043">
        <w:t>ics, and forecast skill of ACs</w:t>
      </w:r>
      <w:r w:rsidR="00984C59">
        <w:t>,</w:t>
      </w:r>
      <w:r w:rsidR="00745043">
        <w:t xml:space="preserve"> </w:t>
      </w:r>
      <w:r w:rsidR="00ED7283">
        <w:t xml:space="preserve">compare between </w:t>
      </w:r>
      <w:r w:rsidR="00745043">
        <w:t xml:space="preserve">low-skill </w:t>
      </w:r>
      <w:r w:rsidR="009F514D">
        <w:t xml:space="preserve">periods </w:t>
      </w:r>
      <w:r w:rsidR="001C2458">
        <w:t>and</w:t>
      </w:r>
      <w:r w:rsidR="00745043">
        <w:t xml:space="preserve"> high-skill periods.</w:t>
      </w:r>
    </w:p>
    <w:p w14:paraId="2409B118" w14:textId="3CE534A5" w:rsidR="004B7B4C" w:rsidRDefault="00401073" w:rsidP="004B7B4C">
      <w:pPr>
        <w:pStyle w:val="ParagraphText"/>
      </w:pPr>
      <w:r>
        <w:t xml:space="preserve">The present study </w:t>
      </w:r>
      <w:r w:rsidR="00E128AD">
        <w:t>finds</w:t>
      </w:r>
      <w:r>
        <w:t xml:space="preserve"> that there is</w:t>
      </w:r>
      <w:r w:rsidR="00EA6D68">
        <w:t xml:space="preserve"> a </w:t>
      </w:r>
      <w:r w:rsidR="00BE2B8E">
        <w:t xml:space="preserve">statistically significant </w:t>
      </w:r>
      <w:r w:rsidR="00EA6D68">
        <w:t>tendency for</w:t>
      </w:r>
      <w:r w:rsidR="00840259">
        <w:t xml:space="preserve"> more vigorous </w:t>
      </w:r>
      <w:r w:rsidR="002953A5">
        <w:t>baroclinic processes and</w:t>
      </w:r>
      <w:r w:rsidR="00525733" w:rsidRPr="00872E7C">
        <w:t xml:space="preserve"> latent heating </w:t>
      </w:r>
      <w:r w:rsidR="00525733">
        <w:t xml:space="preserve">over the Arctic </w:t>
      </w:r>
      <w:r w:rsidR="00525733" w:rsidRPr="00872E7C">
        <w:t>during low-skill periods compared to high-skill periods</w:t>
      </w:r>
      <w:r w:rsidR="002953A5">
        <w:t>. Baroclinic processes have been shown to contribute to the development and intensification of ACs (e.g., Aizawa et al. 2014; Tao et al. 2017</w:t>
      </w:r>
      <w:proofErr w:type="gramStart"/>
      <w:r w:rsidR="002953A5">
        <w:t>a,b</w:t>
      </w:r>
      <w:proofErr w:type="gramEnd"/>
      <w:r w:rsidR="002953A5">
        <w:t xml:space="preserve">; </w:t>
      </w:r>
      <w:proofErr w:type="spellStart"/>
      <w:r w:rsidR="002953A5">
        <w:t>Yamagami</w:t>
      </w:r>
      <w:proofErr w:type="spellEnd"/>
      <w:r w:rsidR="002953A5">
        <w:t xml:space="preserve"> et al. 2017). Although there has been </w:t>
      </w:r>
      <w:r w:rsidR="00BE2B8E">
        <w:t xml:space="preserve">limited </w:t>
      </w:r>
      <w:r w:rsidR="002953A5">
        <w:t>re</w:t>
      </w:r>
      <w:r w:rsidR="000442E9">
        <w:t>se</w:t>
      </w:r>
      <w:r w:rsidR="002953A5">
        <w:t xml:space="preserve">arch on the </w:t>
      </w:r>
      <w:r w:rsidR="00215AF8">
        <w:t>influence</w:t>
      </w:r>
      <w:r w:rsidR="002953A5">
        <w:t xml:space="preserve"> of latent heating </w:t>
      </w:r>
      <w:r w:rsidR="00215AF8">
        <w:t>on</w:t>
      </w:r>
      <w:r w:rsidR="002953A5">
        <w:t xml:space="preserve"> the </w:t>
      </w:r>
      <w:r w:rsidR="002953A5">
        <w:lastRenderedPageBreak/>
        <w:t xml:space="preserve">development and intensification of ACs, </w:t>
      </w:r>
      <w:r w:rsidR="00783534">
        <w:t>it</w:t>
      </w:r>
      <w:r w:rsidR="00E128AD">
        <w:t xml:space="preserve"> is possible that l</w:t>
      </w:r>
      <w:r w:rsidR="00A63788">
        <w:t xml:space="preserve">atent heating </w:t>
      </w:r>
      <w:r w:rsidR="001A0E78">
        <w:t>may</w:t>
      </w:r>
      <w:r w:rsidR="00E128AD">
        <w:t xml:space="preserve"> contribute to</w:t>
      </w:r>
      <w:r w:rsidR="000442E9">
        <w:t xml:space="preserve"> the development and intensification of ACs</w:t>
      </w:r>
      <w:r w:rsidR="002953A5">
        <w:t>.</w:t>
      </w:r>
      <w:r w:rsidR="000442E9">
        <w:t xml:space="preserve"> </w:t>
      </w:r>
      <w:r w:rsidR="00215AF8">
        <w:t>T</w:t>
      </w:r>
      <w:r w:rsidR="002B2F61">
        <w:t>he</w:t>
      </w:r>
      <w:r w:rsidR="009B337C">
        <w:t xml:space="preserve"> statistically significant</w:t>
      </w:r>
      <w:r w:rsidR="000442E9">
        <w:t xml:space="preserve"> ten</w:t>
      </w:r>
      <w:r w:rsidR="0030478A">
        <w:t xml:space="preserve">dency for more vigorous baroclinic processes and </w:t>
      </w:r>
      <w:r w:rsidR="000442E9">
        <w:t>latent heating over the Arctic during low-skill periods compared to high-skill periods suggest</w:t>
      </w:r>
      <w:r w:rsidR="00D37569">
        <w:t>s</w:t>
      </w:r>
      <w:r w:rsidR="00975F21">
        <w:t xml:space="preserve"> </w:t>
      </w:r>
      <w:r w:rsidR="00525733">
        <w:t xml:space="preserve">that </w:t>
      </w:r>
      <w:r w:rsidR="00975F21">
        <w:t xml:space="preserve">there is a tendency for </w:t>
      </w:r>
      <w:r w:rsidR="00525733">
        <w:t>Arc</w:t>
      </w:r>
      <w:r w:rsidR="00975F21">
        <w:t xml:space="preserve">tic environmental conditions </w:t>
      </w:r>
      <w:r w:rsidR="00EC62E8">
        <w:t>to</w:t>
      </w:r>
      <w:r w:rsidR="00525733">
        <w:t xml:space="preserve"> </w:t>
      </w:r>
      <w:r w:rsidR="007B28DD">
        <w:t xml:space="preserve">be more conducive to </w:t>
      </w:r>
      <w:r w:rsidR="00525733">
        <w:t>AC development and intensification during low-skill periods compared to high-skill periods.</w:t>
      </w:r>
      <w:r w:rsidR="008D5CC3">
        <w:t xml:space="preserve"> </w:t>
      </w:r>
      <w:r w:rsidR="00013138">
        <w:t xml:space="preserve">It was expected that Arctic environmental conditions </w:t>
      </w:r>
      <w:r w:rsidR="00981BD1">
        <w:t xml:space="preserve">that are more conducive </w:t>
      </w:r>
      <w:r w:rsidR="00013138">
        <w:t xml:space="preserve">to AC development and intensification during low-skill periods compared to high-skill periods may correspond to more frequent occurrences of ACs and stronger ACs during low-skill periods compared to high-skill periods. </w:t>
      </w:r>
      <w:r w:rsidR="00A626C6">
        <w:t>C</w:t>
      </w:r>
      <w:r w:rsidR="004406F1">
        <w:t>onsistent with expectations</w:t>
      </w:r>
      <w:r w:rsidR="00A626C6">
        <w:t>, t</w:t>
      </w:r>
      <w:r w:rsidR="004B7B4C">
        <w:t xml:space="preserve">he </w:t>
      </w:r>
      <w:r w:rsidR="008A674C">
        <w:t>present study finds that there are</w:t>
      </w:r>
      <w:r w:rsidR="008A674C" w:rsidRPr="00872E7C">
        <w:t xml:space="preserve"> </w:t>
      </w:r>
      <w:r w:rsidR="008A674C">
        <w:t>high</w:t>
      </w:r>
      <w:r w:rsidR="001A0E78">
        <w:t>er</w:t>
      </w:r>
      <w:r w:rsidR="008A674C">
        <w:t xml:space="preserve"> track frequencies of</w:t>
      </w:r>
      <w:r w:rsidR="008A674C" w:rsidRPr="00872E7C">
        <w:t xml:space="preserve"> ACs </w:t>
      </w:r>
      <w:r w:rsidR="006B13DD">
        <w:t>over</w:t>
      </w:r>
      <w:r w:rsidR="008A674C">
        <w:t xml:space="preserve"> much of the </w:t>
      </w:r>
      <w:r w:rsidR="00013138">
        <w:t>Arctic</w:t>
      </w:r>
      <w:r w:rsidR="005C1ADE">
        <w:t>,</w:t>
      </w:r>
      <w:r w:rsidR="000D6FE3">
        <w:t xml:space="preserve"> and</w:t>
      </w:r>
      <w:r w:rsidR="008A674C">
        <w:t xml:space="preserve"> </w:t>
      </w:r>
      <w:r w:rsidR="004B7B4C">
        <w:t>that</w:t>
      </w:r>
      <w:r w:rsidR="00013138">
        <w:t xml:space="preserve"> there is a tendency for</w:t>
      </w:r>
      <w:r w:rsidR="000D6FE3">
        <w:t xml:space="preserve"> </w:t>
      </w:r>
      <w:r w:rsidR="008A674C">
        <w:t>ACs to be</w:t>
      </w:r>
      <w:r w:rsidR="00E128AD">
        <w:t xml:space="preserve"> statistically significantly</w:t>
      </w:r>
      <w:r w:rsidR="008A674C">
        <w:t xml:space="preserve"> stronger</w:t>
      </w:r>
      <w:r w:rsidR="005C1ADE">
        <w:t>,</w:t>
      </w:r>
      <w:r w:rsidR="005807E7">
        <w:t xml:space="preserve"> </w:t>
      </w:r>
      <w:r w:rsidR="004B7B4C">
        <w:t xml:space="preserve">during low-skill periods compared </w:t>
      </w:r>
      <w:r w:rsidR="00013138">
        <w:t>to high-skill pe</w:t>
      </w:r>
      <w:r w:rsidR="00A626C6">
        <w:t>riods.</w:t>
      </w:r>
      <w:r w:rsidR="00B10840" w:rsidRPr="00B10840">
        <w:t xml:space="preserve"> </w:t>
      </w:r>
    </w:p>
    <w:p w14:paraId="70028733" w14:textId="148B17BB" w:rsidR="005F609D" w:rsidRDefault="005F609D" w:rsidP="005F609D">
      <w:pPr>
        <w:pStyle w:val="ParagraphText"/>
      </w:pPr>
      <w:r>
        <w:t>AC</w:t>
      </w:r>
      <w:r w:rsidR="008C1C5F">
        <w:t xml:space="preserve">s during low-skill periods tend to </w:t>
      </w:r>
      <w:r w:rsidR="000D6FE3">
        <w:t xml:space="preserve">be </w:t>
      </w:r>
      <w:r w:rsidR="008C1C5F">
        <w:t xml:space="preserve">located in regions characterized by statistically significantly </w:t>
      </w:r>
      <w:r>
        <w:t xml:space="preserve">stronger lower-tropospheric baroclinicity, </w:t>
      </w:r>
      <w:r w:rsidR="008C1C5F">
        <w:t xml:space="preserve">statistically significantly </w:t>
      </w:r>
      <w:r>
        <w:t>larger lower-to-</w:t>
      </w:r>
      <w:proofErr w:type="spellStart"/>
      <w:r>
        <w:t>midtropospheric</w:t>
      </w:r>
      <w:proofErr w:type="spellEnd"/>
      <w:r>
        <w:t xml:space="preserve"> EGR, and </w:t>
      </w:r>
      <w:r w:rsidR="008C1C5F">
        <w:t xml:space="preserve">statistically significantly </w:t>
      </w:r>
      <w:r>
        <w:t xml:space="preserve">larger latent heating compared to ACs during high-skill periods. It was expected that </w:t>
      </w:r>
      <w:r w:rsidRPr="005F609D">
        <w:t>the stronger lower-tropospheric baroclinicity, larger lower-to-</w:t>
      </w:r>
      <w:proofErr w:type="spellStart"/>
      <w:r w:rsidRPr="005F609D">
        <w:t>midtropospheric</w:t>
      </w:r>
      <w:proofErr w:type="spellEnd"/>
      <w:r w:rsidRPr="005F609D">
        <w:t xml:space="preserve"> EGR, and larger latent heating for ACs during low-skill periods compared to ACs during high-skill periods</w:t>
      </w:r>
      <w:r>
        <w:t xml:space="preserve"> </w:t>
      </w:r>
      <w:r w:rsidRPr="005F609D">
        <w:t xml:space="preserve">may be associated with greater forecast errors that contribute to lower forecast skill of the intensity and position of ACs during low-skill periods compared to ACs during high-skill periods. </w:t>
      </w:r>
      <w:r w:rsidR="005C1ADE">
        <w:t>However</w:t>
      </w:r>
      <w:r>
        <w:t>, there is only weak evidence that</w:t>
      </w:r>
      <w:r w:rsidR="000D6FE3">
        <w:t xml:space="preserve"> ACs </w:t>
      </w:r>
      <w:r>
        <w:t>are</w:t>
      </w:r>
      <w:r w:rsidR="000D6FE3">
        <w:t xml:space="preserve"> associated with lower forecast skill of intensity during low</w:t>
      </w:r>
      <w:r w:rsidR="00CB3B15">
        <w:t>-skill periods compared to high-</w:t>
      </w:r>
      <w:r w:rsidR="000D6FE3">
        <w:t xml:space="preserve">skill periods and </w:t>
      </w:r>
      <w:r>
        <w:t xml:space="preserve">there is </w:t>
      </w:r>
      <w:r w:rsidR="000D6FE3">
        <w:t xml:space="preserve">no evidence </w:t>
      </w:r>
      <w:r w:rsidR="006E7EC0">
        <w:t>that ACs are</w:t>
      </w:r>
      <w:r w:rsidR="000D6FE3">
        <w:t xml:space="preserve"> associated with lower forecast skill of position during low-skill periods compared to high-skill periods. </w:t>
      </w:r>
    </w:p>
    <w:p w14:paraId="2EF00BD2" w14:textId="59AB3519" w:rsidR="00BD4684" w:rsidRPr="00A00C64" w:rsidRDefault="00527D6B" w:rsidP="00316E6A">
      <w:pPr>
        <w:pStyle w:val="ParagraphText"/>
        <w:rPr>
          <w:color w:val="000000" w:themeColor="text1"/>
        </w:rPr>
      </w:pPr>
      <w:r w:rsidRPr="002031AB">
        <w:t xml:space="preserve">ACs </w:t>
      </w:r>
      <w:r w:rsidR="00A5105D">
        <w:t xml:space="preserve">are </w:t>
      </w:r>
      <w:r w:rsidR="009C38DF">
        <w:t>separated</w:t>
      </w:r>
      <w:r w:rsidR="00ED16B5">
        <w:t xml:space="preserve"> </w:t>
      </w:r>
      <w:r w:rsidR="00A5105D">
        <w:t>into</w:t>
      </w:r>
      <w:r>
        <w:t xml:space="preserve"> four skill categories </w:t>
      </w:r>
      <w:r w:rsidRPr="00074782">
        <w:t>based on intensity RMSE for the 5-day l</w:t>
      </w:r>
      <w:r>
        <w:t>ead time</w:t>
      </w:r>
      <w:r w:rsidR="00A5105D">
        <w:t>.</w:t>
      </w:r>
      <w:r>
        <w:t xml:space="preserve"> </w:t>
      </w:r>
      <w:r w:rsidR="00F85296" w:rsidRPr="00F85296">
        <w:rPr>
          <w:color w:val="000000" w:themeColor="text1"/>
        </w:rPr>
        <w:t>Low-skill ACs during low-skill periods tend to be</w:t>
      </w:r>
      <w:r w:rsidR="00F85296">
        <w:rPr>
          <w:color w:val="000000" w:themeColor="text1"/>
        </w:rPr>
        <w:t xml:space="preserve"> </w:t>
      </w:r>
      <w:r w:rsidR="00B86186">
        <w:rPr>
          <w:color w:val="000000" w:themeColor="text1"/>
        </w:rPr>
        <w:t xml:space="preserve">statistically significantly </w:t>
      </w:r>
      <w:r w:rsidR="00F85296">
        <w:rPr>
          <w:color w:val="000000" w:themeColor="text1"/>
        </w:rPr>
        <w:t>strong</w:t>
      </w:r>
      <w:r w:rsidR="00B86186">
        <w:rPr>
          <w:color w:val="000000" w:themeColor="text1"/>
        </w:rPr>
        <w:t>er</w:t>
      </w:r>
      <w:r w:rsidR="00F85296">
        <w:rPr>
          <w:color w:val="000000" w:themeColor="text1"/>
        </w:rPr>
        <w:t>, and tend to be</w:t>
      </w:r>
      <w:r w:rsidR="00F85296" w:rsidRPr="00F85296">
        <w:rPr>
          <w:color w:val="000000" w:themeColor="text1"/>
        </w:rPr>
        <w:t xml:space="preserve"> located in regions of </w:t>
      </w:r>
      <w:r w:rsidR="00B86186">
        <w:rPr>
          <w:color w:val="000000" w:themeColor="text1"/>
        </w:rPr>
        <w:t>statistically significantly</w:t>
      </w:r>
      <w:r w:rsidR="00F85296" w:rsidRPr="00F85296">
        <w:rPr>
          <w:color w:val="000000" w:themeColor="text1"/>
        </w:rPr>
        <w:t xml:space="preserve"> strong</w:t>
      </w:r>
      <w:r w:rsidR="00B86186">
        <w:rPr>
          <w:color w:val="000000" w:themeColor="text1"/>
        </w:rPr>
        <w:t>er</w:t>
      </w:r>
      <w:r w:rsidR="00F85296" w:rsidRPr="00F85296">
        <w:rPr>
          <w:color w:val="000000" w:themeColor="text1"/>
        </w:rPr>
        <w:t xml:space="preserve"> lower-tropospheric baroclinicity, </w:t>
      </w:r>
      <w:r w:rsidR="009C38DF">
        <w:rPr>
          <w:color w:val="000000" w:themeColor="text1"/>
        </w:rPr>
        <w:t xml:space="preserve">statistically significantly </w:t>
      </w:r>
      <w:r w:rsidR="00F85296" w:rsidRPr="00F85296">
        <w:rPr>
          <w:color w:val="000000" w:themeColor="text1"/>
        </w:rPr>
        <w:t>large</w:t>
      </w:r>
      <w:r w:rsidR="00B86186">
        <w:rPr>
          <w:color w:val="000000" w:themeColor="text1"/>
        </w:rPr>
        <w:t>r</w:t>
      </w:r>
      <w:r w:rsidR="00F85296" w:rsidRPr="00F85296">
        <w:rPr>
          <w:color w:val="000000" w:themeColor="text1"/>
        </w:rPr>
        <w:t xml:space="preserve"> lower-to-</w:t>
      </w:r>
      <w:proofErr w:type="spellStart"/>
      <w:r w:rsidR="00F85296" w:rsidRPr="00F85296">
        <w:rPr>
          <w:color w:val="000000" w:themeColor="text1"/>
        </w:rPr>
        <w:t>midtropospheric</w:t>
      </w:r>
      <w:proofErr w:type="spellEnd"/>
      <w:r w:rsidR="00F85296" w:rsidRPr="00F85296">
        <w:rPr>
          <w:color w:val="000000" w:themeColor="text1"/>
        </w:rPr>
        <w:t xml:space="preserve"> EGR,</w:t>
      </w:r>
      <w:r w:rsidR="00E764E4">
        <w:rPr>
          <w:color w:val="000000" w:themeColor="text1"/>
        </w:rPr>
        <w:t xml:space="preserve"> </w:t>
      </w:r>
      <w:r w:rsidR="009C38DF">
        <w:rPr>
          <w:color w:val="000000" w:themeColor="text1"/>
        </w:rPr>
        <w:t xml:space="preserve">statistically significantly </w:t>
      </w:r>
      <w:r w:rsidR="00E764E4">
        <w:rPr>
          <w:color w:val="000000" w:themeColor="text1"/>
        </w:rPr>
        <w:t>stronger moisture transport,</w:t>
      </w:r>
      <w:r w:rsidR="00F85296" w:rsidRPr="00F85296">
        <w:rPr>
          <w:color w:val="000000" w:themeColor="text1"/>
        </w:rPr>
        <w:t xml:space="preserve"> and </w:t>
      </w:r>
      <w:r w:rsidR="009C38DF">
        <w:rPr>
          <w:color w:val="000000" w:themeColor="text1"/>
        </w:rPr>
        <w:t xml:space="preserve">statistically significantly </w:t>
      </w:r>
      <w:r w:rsidR="00F85296" w:rsidRPr="00F85296">
        <w:rPr>
          <w:color w:val="000000" w:themeColor="text1"/>
        </w:rPr>
        <w:t>larg</w:t>
      </w:r>
      <w:r w:rsidR="00B86186">
        <w:rPr>
          <w:color w:val="000000" w:themeColor="text1"/>
        </w:rPr>
        <w:t>er</w:t>
      </w:r>
      <w:r w:rsidR="00F85296" w:rsidRPr="00F85296">
        <w:rPr>
          <w:color w:val="000000" w:themeColor="text1"/>
        </w:rPr>
        <w:t xml:space="preserve"> latent heating</w:t>
      </w:r>
      <w:r w:rsidR="00F85296">
        <w:rPr>
          <w:color w:val="000000" w:themeColor="text1"/>
        </w:rPr>
        <w:t xml:space="preserve">, </w:t>
      </w:r>
      <w:r w:rsidR="00F85296" w:rsidRPr="00F85296">
        <w:rPr>
          <w:color w:val="000000" w:themeColor="text1"/>
        </w:rPr>
        <w:t xml:space="preserve">when compared to high-skill ACs during </w:t>
      </w:r>
      <w:r w:rsidR="00F85296">
        <w:rPr>
          <w:color w:val="000000" w:themeColor="text1"/>
        </w:rPr>
        <w:t>low</w:t>
      </w:r>
      <w:r w:rsidR="00F85296" w:rsidRPr="00F85296">
        <w:rPr>
          <w:color w:val="000000" w:themeColor="text1"/>
        </w:rPr>
        <w:t>-skill periods and ACs during the 2007–2017 climatological period</w:t>
      </w:r>
      <w:r w:rsidR="00F85296">
        <w:rPr>
          <w:color w:val="000000" w:themeColor="text1"/>
        </w:rPr>
        <w:t xml:space="preserve">. </w:t>
      </w:r>
      <w:r w:rsidR="008D7A81">
        <w:t>It is</w:t>
      </w:r>
      <w:r w:rsidR="005C1ADE">
        <w:t xml:space="preserve"> expected that relatively large</w:t>
      </w:r>
      <w:r w:rsidR="008D7A81">
        <w:t xml:space="preserve"> forecast errors </w:t>
      </w:r>
      <w:r w:rsidR="008D7A81" w:rsidRPr="00A00C64">
        <w:rPr>
          <w:color w:val="000000" w:themeColor="text1"/>
        </w:rPr>
        <w:t>that may be associated with</w:t>
      </w:r>
      <w:r w:rsidR="001F627E" w:rsidRPr="00A00C64">
        <w:rPr>
          <w:color w:val="000000" w:themeColor="text1"/>
        </w:rPr>
        <w:t xml:space="preserve"> </w:t>
      </w:r>
      <w:r w:rsidR="008D7A81" w:rsidRPr="00A00C64">
        <w:rPr>
          <w:color w:val="000000" w:themeColor="text1"/>
        </w:rPr>
        <w:t>relatively strong lower-tropospheric baroclinicity, relatively large lower-to-</w:t>
      </w:r>
      <w:proofErr w:type="spellStart"/>
      <w:r w:rsidR="008D7A81" w:rsidRPr="00A00C64">
        <w:rPr>
          <w:color w:val="000000" w:themeColor="text1"/>
        </w:rPr>
        <w:t>midtropospheric</w:t>
      </w:r>
      <w:proofErr w:type="spellEnd"/>
      <w:r w:rsidR="008D7A81" w:rsidRPr="00A00C64">
        <w:rPr>
          <w:color w:val="000000" w:themeColor="text1"/>
        </w:rPr>
        <w:t xml:space="preserve"> EGR, and relatively large latent heating may help </w:t>
      </w:r>
      <w:r w:rsidR="00962316" w:rsidRPr="00A00C64">
        <w:rPr>
          <w:color w:val="000000" w:themeColor="text1"/>
        </w:rPr>
        <w:t>explain the</w:t>
      </w:r>
      <w:r w:rsidR="008D7A81" w:rsidRPr="00A00C64">
        <w:rPr>
          <w:color w:val="000000" w:themeColor="text1"/>
        </w:rPr>
        <w:t xml:space="preserve"> low forecast </w:t>
      </w:r>
      <w:r w:rsidR="008D7A81" w:rsidRPr="00A00C64">
        <w:rPr>
          <w:color w:val="000000" w:themeColor="text1"/>
        </w:rPr>
        <w:lastRenderedPageBreak/>
        <w:t xml:space="preserve">skill of intensity of low-skill ACs during low-skill periods. </w:t>
      </w:r>
      <w:r w:rsidR="00E764E4" w:rsidRPr="00A00C64">
        <w:rPr>
          <w:color w:val="000000" w:themeColor="text1"/>
        </w:rPr>
        <w:t xml:space="preserve">The present study </w:t>
      </w:r>
      <w:r w:rsidR="007E03B1" w:rsidRPr="00A00C64">
        <w:rPr>
          <w:color w:val="000000" w:themeColor="text1"/>
        </w:rPr>
        <w:t xml:space="preserve">thus </w:t>
      </w:r>
      <w:r w:rsidR="00E764E4" w:rsidRPr="00A00C64">
        <w:rPr>
          <w:color w:val="000000" w:themeColor="text1"/>
        </w:rPr>
        <w:t xml:space="preserve">suggests that conditions </w:t>
      </w:r>
      <w:r w:rsidR="009C38DF">
        <w:rPr>
          <w:color w:val="000000" w:themeColor="text1"/>
        </w:rPr>
        <w:t>indicating a</w:t>
      </w:r>
      <w:r w:rsidR="00E764E4" w:rsidRPr="00A00C64">
        <w:rPr>
          <w:color w:val="000000" w:themeColor="text1"/>
        </w:rPr>
        <w:t xml:space="preserve"> higher likelihood of poor intensity forecasts of ACs include relatively strong lower-tropospheric baroclinicity, relatively large lower-to-</w:t>
      </w:r>
      <w:proofErr w:type="spellStart"/>
      <w:r w:rsidR="00E764E4" w:rsidRPr="00A00C64">
        <w:rPr>
          <w:color w:val="000000" w:themeColor="text1"/>
        </w:rPr>
        <w:t>midtropospheric</w:t>
      </w:r>
      <w:proofErr w:type="spellEnd"/>
      <w:r w:rsidR="00E764E4" w:rsidRPr="00A00C64">
        <w:rPr>
          <w:color w:val="000000" w:themeColor="text1"/>
        </w:rPr>
        <w:t xml:space="preserve"> EGR, relatively strong moisture transport, and relatively large latent heating. </w:t>
      </w:r>
    </w:p>
    <w:p w14:paraId="415EB0F3" w14:textId="00B84DE7" w:rsidR="00BD4684" w:rsidRPr="00A00C64" w:rsidRDefault="00E764E4" w:rsidP="00BD4684">
      <w:pPr>
        <w:pStyle w:val="ParagraphText"/>
        <w:rPr>
          <w:color w:val="000000" w:themeColor="text1"/>
        </w:rPr>
      </w:pPr>
      <w:r w:rsidRPr="00A00C64">
        <w:rPr>
          <w:color w:val="000000" w:themeColor="text1"/>
        </w:rPr>
        <w:t xml:space="preserve">There are limitations of the present study. One limitation </w:t>
      </w:r>
      <w:r w:rsidR="008A2EDE" w:rsidRPr="00A00C64">
        <w:rPr>
          <w:color w:val="000000" w:themeColor="text1"/>
        </w:rPr>
        <w:t>is that when comparing ACs of different forecast skill, the relationship between the stage of the ACs (i.e., developing, mature, and decaying stage</w:t>
      </w:r>
      <w:r w:rsidR="00715E13" w:rsidRPr="00A00C64">
        <w:rPr>
          <w:color w:val="000000" w:themeColor="text1"/>
        </w:rPr>
        <w:t>s</w:t>
      </w:r>
      <w:r w:rsidR="008A2EDE" w:rsidRPr="00A00C64">
        <w:rPr>
          <w:color w:val="000000" w:themeColor="text1"/>
        </w:rPr>
        <w:t xml:space="preserve">) and differences in the forecast skill and characteristics </w:t>
      </w:r>
      <w:r w:rsidR="00F11F43" w:rsidRPr="00A00C64">
        <w:rPr>
          <w:color w:val="000000" w:themeColor="text1"/>
        </w:rPr>
        <w:t>of</w:t>
      </w:r>
      <w:r w:rsidR="008A2EDE" w:rsidRPr="00A00C64">
        <w:rPr>
          <w:color w:val="000000" w:themeColor="text1"/>
        </w:rPr>
        <w:t xml:space="preserve"> the ACs </w:t>
      </w:r>
      <w:r w:rsidR="009C38DF">
        <w:rPr>
          <w:color w:val="000000" w:themeColor="text1"/>
        </w:rPr>
        <w:t>are</w:t>
      </w:r>
      <w:r w:rsidR="008A2EDE" w:rsidRPr="00A00C64">
        <w:rPr>
          <w:color w:val="000000" w:themeColor="text1"/>
        </w:rPr>
        <w:t xml:space="preserve"> not</w:t>
      </w:r>
      <w:r w:rsidR="00E52120" w:rsidRPr="00A00C64">
        <w:rPr>
          <w:color w:val="000000" w:themeColor="text1"/>
        </w:rPr>
        <w:t xml:space="preserve"> examined</w:t>
      </w:r>
      <w:r w:rsidR="008A2EDE" w:rsidRPr="00A00C64">
        <w:rPr>
          <w:color w:val="000000" w:themeColor="text1"/>
        </w:rPr>
        <w:t xml:space="preserve">. </w:t>
      </w:r>
      <w:r w:rsidR="003B4D66" w:rsidRPr="003B4D66">
        <w:rPr>
          <w:color w:val="000000" w:themeColor="text1"/>
        </w:rPr>
        <w:t>It is speculated that ACs may be associated with more vigorous baroclinic processes and latent heating during the developing and mature stages compared to the decaying stage</w:t>
      </w:r>
      <w:r w:rsidR="003B4D66">
        <w:rPr>
          <w:color w:val="000000" w:themeColor="text1"/>
        </w:rPr>
        <w:t xml:space="preserve">. </w:t>
      </w:r>
      <w:r w:rsidR="00E8495A">
        <w:rPr>
          <w:color w:val="000000" w:themeColor="text1"/>
        </w:rPr>
        <w:t>It is further speculated that m</w:t>
      </w:r>
      <w:r w:rsidR="003B4D66">
        <w:rPr>
          <w:color w:val="000000" w:themeColor="text1"/>
        </w:rPr>
        <w:t>ore vigorous</w:t>
      </w:r>
      <w:r w:rsidR="003B4D66" w:rsidRPr="003B4D66">
        <w:rPr>
          <w:color w:val="000000" w:themeColor="text1"/>
        </w:rPr>
        <w:t xml:space="preserve"> baroclinic processes and latent heating during the developing and mature stages compared to the decaying stage</w:t>
      </w:r>
      <w:r w:rsidR="003B4D66">
        <w:rPr>
          <w:color w:val="000000" w:themeColor="text1"/>
        </w:rPr>
        <w:t xml:space="preserve"> may be associated with greater forecasts errors that </w:t>
      </w:r>
      <w:r w:rsidR="003B4D66" w:rsidRPr="003B4D66">
        <w:rPr>
          <w:color w:val="000000" w:themeColor="text1"/>
        </w:rPr>
        <w:t xml:space="preserve">contribute to lower forecast skill of the intensity of ACs during the developing and mature stages compared to the decaying stage. </w:t>
      </w:r>
      <w:r w:rsidR="00EF3978" w:rsidRPr="00A00C64">
        <w:rPr>
          <w:color w:val="000000" w:themeColor="text1"/>
        </w:rPr>
        <w:t>Another limitation of the present study is that the influence of the</w:t>
      </w:r>
      <w:r w:rsidR="00DA130D" w:rsidRPr="00A00C64">
        <w:rPr>
          <w:color w:val="000000" w:themeColor="text1"/>
        </w:rPr>
        <w:t xml:space="preserve"> geographical</w:t>
      </w:r>
      <w:r w:rsidR="00EF3978" w:rsidRPr="00A00C64">
        <w:rPr>
          <w:color w:val="000000" w:themeColor="text1"/>
        </w:rPr>
        <w:t xml:space="preserve"> </w:t>
      </w:r>
      <w:r w:rsidR="00DA130D" w:rsidRPr="00A00C64">
        <w:rPr>
          <w:color w:val="000000" w:themeColor="text1"/>
        </w:rPr>
        <w:t>location of ACs</w:t>
      </w:r>
      <w:r w:rsidR="00EF3978" w:rsidRPr="00A00C64">
        <w:rPr>
          <w:color w:val="000000" w:themeColor="text1"/>
        </w:rPr>
        <w:t xml:space="preserve"> on the forecast skill and characteristics of ACs is</w:t>
      </w:r>
      <w:r w:rsidR="00DA130D" w:rsidRPr="00A00C64">
        <w:rPr>
          <w:color w:val="000000" w:themeColor="text1"/>
        </w:rPr>
        <w:t xml:space="preserve"> not</w:t>
      </w:r>
      <w:r w:rsidR="00EF3978" w:rsidRPr="00A00C64">
        <w:rPr>
          <w:color w:val="000000" w:themeColor="text1"/>
        </w:rPr>
        <w:t xml:space="preserve"> considered</w:t>
      </w:r>
      <w:r w:rsidR="00DA130D" w:rsidRPr="00A00C64">
        <w:rPr>
          <w:color w:val="000000" w:themeColor="text1"/>
        </w:rPr>
        <w:t>. It is speculated, for instance,</w:t>
      </w:r>
      <w:r w:rsidR="00EF3978" w:rsidRPr="00A00C64">
        <w:rPr>
          <w:color w:val="000000" w:themeColor="text1"/>
        </w:rPr>
        <w:t xml:space="preserve"> that ACs originating from lower</w:t>
      </w:r>
      <w:r w:rsidR="00DA130D" w:rsidRPr="00A00C64">
        <w:rPr>
          <w:color w:val="000000" w:themeColor="text1"/>
        </w:rPr>
        <w:t>-</w:t>
      </w:r>
      <w:r w:rsidR="00EF3978" w:rsidRPr="00A00C64">
        <w:rPr>
          <w:color w:val="000000" w:themeColor="text1"/>
        </w:rPr>
        <w:t>latitude</w:t>
      </w:r>
      <w:r w:rsidR="00DA130D" w:rsidRPr="00A00C64">
        <w:rPr>
          <w:color w:val="000000" w:themeColor="text1"/>
        </w:rPr>
        <w:t xml:space="preserve"> regions with relatively large coverage of observational data</w:t>
      </w:r>
      <w:r w:rsidR="00EF3978" w:rsidRPr="00A00C64">
        <w:rPr>
          <w:color w:val="000000" w:themeColor="text1"/>
        </w:rPr>
        <w:t xml:space="preserve"> may </w:t>
      </w:r>
      <w:r w:rsidR="00DA130D" w:rsidRPr="00A00C64">
        <w:rPr>
          <w:color w:val="000000" w:themeColor="text1"/>
        </w:rPr>
        <w:t xml:space="preserve">tend to </w:t>
      </w:r>
      <w:r w:rsidR="00EF3978" w:rsidRPr="00A00C64">
        <w:rPr>
          <w:color w:val="000000" w:themeColor="text1"/>
        </w:rPr>
        <w:t xml:space="preserve">be associated with higher forecast skill compared to ACs originating over the Arctic, </w:t>
      </w:r>
      <w:r w:rsidR="00DA130D" w:rsidRPr="00A00C64">
        <w:rPr>
          <w:color w:val="000000" w:themeColor="text1"/>
        </w:rPr>
        <w:t>where there is</w:t>
      </w:r>
      <w:r w:rsidR="00EF3978" w:rsidRPr="00A00C64">
        <w:rPr>
          <w:color w:val="000000" w:themeColor="text1"/>
        </w:rPr>
        <w:t xml:space="preserve"> relatively sparse coverage of conventional data (e.g., Lawrence et al. 2019).</w:t>
      </w:r>
      <w:r w:rsidR="00BD4684" w:rsidRPr="00A00C64">
        <w:rPr>
          <w:color w:val="000000" w:themeColor="text1"/>
        </w:rPr>
        <w:t xml:space="preserve"> A</w:t>
      </w:r>
      <w:r w:rsidR="00715E13" w:rsidRPr="00A00C64">
        <w:rPr>
          <w:color w:val="000000" w:themeColor="text1"/>
        </w:rPr>
        <w:t>n additional</w:t>
      </w:r>
      <w:r w:rsidR="00BD4684" w:rsidRPr="00A00C64">
        <w:rPr>
          <w:color w:val="000000" w:themeColor="text1"/>
        </w:rPr>
        <w:t xml:space="preserve"> limitation of the present study is that ACs for which there are &lt; 5 ensemble members with a matching forecast AC occurring at the verification time are not examined. ACs for which there are &lt; 5 ensemble members with a matching forecast AC</w:t>
      </w:r>
      <w:r w:rsidR="00CE5E66">
        <w:rPr>
          <w:color w:val="000000" w:themeColor="text1"/>
        </w:rPr>
        <w:t xml:space="preserve"> occurring at the verification time</w:t>
      </w:r>
      <w:r w:rsidR="009C38DF">
        <w:rPr>
          <w:color w:val="000000" w:themeColor="text1"/>
        </w:rPr>
        <w:t xml:space="preserve"> </w:t>
      </w:r>
      <w:r w:rsidR="00BD4684" w:rsidRPr="00A00C64">
        <w:rPr>
          <w:color w:val="000000" w:themeColor="text1"/>
        </w:rPr>
        <w:t>may</w:t>
      </w:r>
      <w:r w:rsidR="009C38DF">
        <w:rPr>
          <w:color w:val="000000" w:themeColor="text1"/>
        </w:rPr>
        <w:t xml:space="preserve"> represent </w:t>
      </w:r>
      <w:r w:rsidR="00AB688A">
        <w:rPr>
          <w:color w:val="000000" w:themeColor="text1"/>
        </w:rPr>
        <w:t xml:space="preserve">a category of </w:t>
      </w:r>
      <w:r w:rsidR="009C38DF">
        <w:rPr>
          <w:color w:val="000000" w:themeColor="text1"/>
        </w:rPr>
        <w:t>ACs</w:t>
      </w:r>
      <w:r w:rsidR="00AB688A">
        <w:rPr>
          <w:color w:val="000000" w:themeColor="text1"/>
        </w:rPr>
        <w:t xml:space="preserve"> whose existence is difficult to predict at the verification time.</w:t>
      </w:r>
    </w:p>
    <w:p w14:paraId="0E6201D9" w14:textId="6858C9E6" w:rsidR="008A2EDE" w:rsidRPr="00A00C64" w:rsidRDefault="00831636" w:rsidP="008A2EDE">
      <w:pPr>
        <w:pStyle w:val="ParagraphText"/>
        <w:rPr>
          <w:color w:val="000000" w:themeColor="text1"/>
        </w:rPr>
      </w:pPr>
      <w:r w:rsidRPr="00A00C64">
        <w:rPr>
          <w:color w:val="000000" w:themeColor="text1"/>
        </w:rPr>
        <w:t xml:space="preserve">Although the present study identifies processes </w:t>
      </w:r>
      <w:r w:rsidR="00EA567B" w:rsidRPr="00A00C64">
        <w:rPr>
          <w:color w:val="000000" w:themeColor="text1"/>
        </w:rPr>
        <w:t>that may</w:t>
      </w:r>
      <w:r w:rsidRPr="00A00C64">
        <w:rPr>
          <w:color w:val="000000" w:themeColor="text1"/>
        </w:rPr>
        <w:t xml:space="preserve"> </w:t>
      </w:r>
      <w:r w:rsidR="00EA567B" w:rsidRPr="00A00C64">
        <w:rPr>
          <w:color w:val="000000" w:themeColor="text1"/>
        </w:rPr>
        <w:t xml:space="preserve">influence </w:t>
      </w:r>
      <w:r w:rsidRPr="00A00C64">
        <w:rPr>
          <w:color w:val="000000" w:themeColor="text1"/>
        </w:rPr>
        <w:t xml:space="preserve">the forecast skill </w:t>
      </w:r>
      <w:r w:rsidR="00EE52C5" w:rsidRPr="00A00C64">
        <w:rPr>
          <w:color w:val="000000" w:themeColor="text1"/>
        </w:rPr>
        <w:t xml:space="preserve">of ACs </w:t>
      </w:r>
      <w:r w:rsidRPr="00A00C64">
        <w:rPr>
          <w:color w:val="000000" w:themeColor="text1"/>
        </w:rPr>
        <w:t xml:space="preserve">through the examination of area-averages of selected dynamic and thermodynamic quantities, </w:t>
      </w:r>
      <w:r w:rsidR="00FF5C66" w:rsidRPr="00A00C64">
        <w:rPr>
          <w:color w:val="000000" w:themeColor="text1"/>
        </w:rPr>
        <w:t xml:space="preserve">a limitation of </w:t>
      </w:r>
      <w:r w:rsidR="00506AA3" w:rsidRPr="00A00C64">
        <w:rPr>
          <w:color w:val="000000" w:themeColor="text1"/>
        </w:rPr>
        <w:t>these</w:t>
      </w:r>
      <w:r w:rsidRPr="00A00C64">
        <w:rPr>
          <w:color w:val="000000" w:themeColor="text1"/>
        </w:rPr>
        <w:t xml:space="preserve"> area-averages </w:t>
      </w:r>
      <w:r w:rsidR="00506AA3" w:rsidRPr="00A00C64">
        <w:rPr>
          <w:color w:val="000000" w:themeColor="text1"/>
        </w:rPr>
        <w:t xml:space="preserve">is that they </w:t>
      </w:r>
      <w:r w:rsidRPr="00A00C64">
        <w:rPr>
          <w:color w:val="000000" w:themeColor="text1"/>
        </w:rPr>
        <w:t xml:space="preserve">cannot fully capture the </w:t>
      </w:r>
      <w:r w:rsidR="00F329C7" w:rsidRPr="00A00C64">
        <w:rPr>
          <w:color w:val="000000" w:themeColor="text1"/>
        </w:rPr>
        <w:t xml:space="preserve">detailed </w:t>
      </w:r>
      <w:r w:rsidRPr="00A00C64">
        <w:rPr>
          <w:color w:val="000000" w:themeColor="text1"/>
        </w:rPr>
        <w:t>evolution of key features</w:t>
      </w:r>
      <w:r w:rsidR="00EE52C5" w:rsidRPr="00A00C64">
        <w:rPr>
          <w:color w:val="000000" w:themeColor="text1"/>
        </w:rPr>
        <w:t xml:space="preserve"> (e.g., TPVs) </w:t>
      </w:r>
      <w:r w:rsidRPr="00A00C64">
        <w:rPr>
          <w:color w:val="000000" w:themeColor="text1"/>
        </w:rPr>
        <w:t>and processes influencing the</w:t>
      </w:r>
      <w:r w:rsidR="00F11F43" w:rsidRPr="00A00C64">
        <w:rPr>
          <w:color w:val="000000" w:themeColor="text1"/>
        </w:rPr>
        <w:t xml:space="preserve"> evolution and</w:t>
      </w:r>
      <w:r w:rsidRPr="00A00C64">
        <w:rPr>
          <w:color w:val="000000" w:themeColor="text1"/>
        </w:rPr>
        <w:t xml:space="preserve"> </w:t>
      </w:r>
      <w:r w:rsidR="00EE52C5" w:rsidRPr="00A00C64">
        <w:rPr>
          <w:color w:val="000000" w:themeColor="text1"/>
        </w:rPr>
        <w:t>forecast skill</w:t>
      </w:r>
      <w:r w:rsidR="00F95236" w:rsidRPr="00A00C64">
        <w:rPr>
          <w:color w:val="000000" w:themeColor="text1"/>
        </w:rPr>
        <w:t xml:space="preserve"> of </w:t>
      </w:r>
      <w:r w:rsidRPr="00A00C64">
        <w:rPr>
          <w:color w:val="000000" w:themeColor="text1"/>
        </w:rPr>
        <w:t>ACs.</w:t>
      </w:r>
      <w:r w:rsidR="00EE52C5" w:rsidRPr="00A00C64">
        <w:rPr>
          <w:color w:val="000000" w:themeColor="text1"/>
        </w:rPr>
        <w:t xml:space="preserve"> </w:t>
      </w:r>
      <w:r w:rsidR="00F11F43" w:rsidRPr="00A00C64">
        <w:rPr>
          <w:color w:val="000000" w:themeColor="text1"/>
        </w:rPr>
        <w:t xml:space="preserve">The evolution </w:t>
      </w:r>
      <w:r w:rsidR="0095074D" w:rsidRPr="00A00C64">
        <w:rPr>
          <w:color w:val="000000" w:themeColor="text1"/>
        </w:rPr>
        <w:t xml:space="preserve">of </w:t>
      </w:r>
      <w:r w:rsidR="00F11F43" w:rsidRPr="00A00C64">
        <w:rPr>
          <w:color w:val="000000" w:themeColor="text1"/>
        </w:rPr>
        <w:t xml:space="preserve">AC12, which is associated with limited forecast skill (e.g., </w:t>
      </w:r>
      <w:proofErr w:type="spellStart"/>
      <w:r w:rsidR="00F11F43" w:rsidRPr="00A00C64">
        <w:rPr>
          <w:color w:val="000000" w:themeColor="text1"/>
        </w:rPr>
        <w:t>Yamagami</w:t>
      </w:r>
      <w:proofErr w:type="spellEnd"/>
      <w:r w:rsidR="00F11F43" w:rsidRPr="00A00C64">
        <w:rPr>
          <w:color w:val="000000" w:themeColor="text1"/>
        </w:rPr>
        <w:t xml:space="preserve"> et al. 201</w:t>
      </w:r>
      <w:r w:rsidR="0095074D" w:rsidRPr="00A00C64">
        <w:rPr>
          <w:color w:val="000000" w:themeColor="text1"/>
        </w:rPr>
        <w:t>8a</w:t>
      </w:r>
      <w:r w:rsidR="00F11F43" w:rsidRPr="00A00C64">
        <w:rPr>
          <w:color w:val="000000" w:themeColor="text1"/>
        </w:rPr>
        <w:t xml:space="preserve">), has been shown to be influenced by the interaction between a TPV and an upper-tropospheric jet streak in a region of strong baroclinicity (e.g., Tao et al. 2017b). </w:t>
      </w:r>
      <w:r w:rsidR="00EE52C5" w:rsidRPr="00A00C64">
        <w:rPr>
          <w:color w:val="000000" w:themeColor="text1"/>
        </w:rPr>
        <w:t>Better understanding of features and processes influencing the</w:t>
      </w:r>
      <w:r w:rsidR="00F11F43" w:rsidRPr="00A00C64">
        <w:rPr>
          <w:color w:val="000000" w:themeColor="text1"/>
        </w:rPr>
        <w:t xml:space="preserve"> evolution and</w:t>
      </w:r>
      <w:r w:rsidR="00EE52C5" w:rsidRPr="00A00C64">
        <w:rPr>
          <w:color w:val="000000" w:themeColor="text1"/>
        </w:rPr>
        <w:t xml:space="preserve"> forecast skill of low-skill ACs during low-skill periods is </w:t>
      </w:r>
      <w:r w:rsidR="00617AD4">
        <w:rPr>
          <w:color w:val="000000" w:themeColor="text1"/>
        </w:rPr>
        <w:t>of considerable</w:t>
      </w:r>
      <w:r w:rsidR="00EE52C5" w:rsidRPr="00A00C64">
        <w:rPr>
          <w:color w:val="000000" w:themeColor="text1"/>
        </w:rPr>
        <w:t xml:space="preserve"> interest since th</w:t>
      </w:r>
      <w:r w:rsidR="00617AD4">
        <w:rPr>
          <w:color w:val="000000" w:themeColor="text1"/>
        </w:rPr>
        <w:t xml:space="preserve">is category </w:t>
      </w:r>
      <w:r w:rsidR="00617AD4">
        <w:rPr>
          <w:color w:val="000000" w:themeColor="text1"/>
        </w:rPr>
        <w:lastRenderedPageBreak/>
        <w:t>of</w:t>
      </w:r>
      <w:r w:rsidR="00EE52C5" w:rsidRPr="00A00C64">
        <w:rPr>
          <w:color w:val="000000" w:themeColor="text1"/>
        </w:rPr>
        <w:t xml:space="preserve"> ACs</w:t>
      </w:r>
      <w:r w:rsidR="008A2EDE" w:rsidRPr="00A00C64">
        <w:rPr>
          <w:color w:val="000000" w:themeColor="text1"/>
        </w:rPr>
        <w:t xml:space="preserve"> may pose challenges to human activities in the Arctic that may be impacted by </w:t>
      </w:r>
      <w:proofErr w:type="gramStart"/>
      <w:r w:rsidR="008A2EDE" w:rsidRPr="00A00C64">
        <w:rPr>
          <w:color w:val="000000" w:themeColor="text1"/>
        </w:rPr>
        <w:t>potential</w:t>
      </w:r>
      <w:proofErr w:type="gramEnd"/>
      <w:r w:rsidR="008A2EDE" w:rsidRPr="00A00C64">
        <w:rPr>
          <w:color w:val="000000" w:themeColor="text1"/>
        </w:rPr>
        <w:t xml:space="preserve"> hazardous weather conditions associated with this category of ACs. </w:t>
      </w:r>
      <w:r w:rsidR="00617AD4">
        <w:rPr>
          <w:color w:val="000000" w:themeColor="text1"/>
        </w:rPr>
        <w:t>In view of this level of interest</w:t>
      </w:r>
      <w:r w:rsidR="008A2EDE" w:rsidRPr="00A00C64">
        <w:rPr>
          <w:color w:val="000000" w:themeColor="text1"/>
        </w:rPr>
        <w:t>, features and processes influencing the evolution and forecast skill of low-skill ACs during low-skill periods are the topic of a future paper.</w:t>
      </w:r>
    </w:p>
    <w:p w14:paraId="184B8FE3" w14:textId="77777777" w:rsidR="00F72E79" w:rsidRPr="00B36F8E" w:rsidRDefault="00F72E79" w:rsidP="00F52648">
      <w:pPr>
        <w:ind w:firstLine="0"/>
        <w:rPr>
          <w:szCs w:val="24"/>
        </w:rPr>
      </w:pPr>
    </w:p>
    <w:p w14:paraId="0FE29B8B" w14:textId="11D14822" w:rsidR="00D90B97" w:rsidRPr="00B36F8E" w:rsidRDefault="008274AB" w:rsidP="006E19A6">
      <w:pPr>
        <w:pStyle w:val="ComponentName2"/>
        <w:rPr>
          <w:szCs w:val="24"/>
        </w:rPr>
      </w:pPr>
      <w:r w:rsidRPr="00B36F8E">
        <w:rPr>
          <w:szCs w:val="24"/>
        </w:rPr>
        <w:t>Acknowledgments.</w:t>
      </w:r>
    </w:p>
    <w:p w14:paraId="5AA8216C" w14:textId="62A0F616" w:rsidR="00D90B97" w:rsidRDefault="00360C83" w:rsidP="006E4758">
      <w:pPr>
        <w:rPr>
          <w:szCs w:val="24"/>
        </w:rPr>
      </w:pPr>
      <w:r>
        <w:rPr>
          <w:szCs w:val="24"/>
        </w:rPr>
        <w:t xml:space="preserve">The authors thank three anonymous reviewers for constructive feedback </w:t>
      </w:r>
      <w:r w:rsidR="000F66DF">
        <w:rPr>
          <w:szCs w:val="24"/>
        </w:rPr>
        <w:t>that improved this paper</w:t>
      </w:r>
      <w:r>
        <w:rPr>
          <w:szCs w:val="24"/>
        </w:rPr>
        <w:t xml:space="preserve">. </w:t>
      </w:r>
      <w:r w:rsidR="00DB5C3A" w:rsidRPr="00DB5C3A">
        <w:rPr>
          <w:szCs w:val="24"/>
        </w:rPr>
        <w:t>The authors thank</w:t>
      </w:r>
      <w:r w:rsidR="00DB5C3A">
        <w:rPr>
          <w:szCs w:val="24"/>
        </w:rPr>
        <w:t xml:space="preserve"> </w:t>
      </w:r>
      <w:r w:rsidR="00021BE9" w:rsidRPr="00DB5C3A">
        <w:rPr>
          <w:szCs w:val="24"/>
        </w:rPr>
        <w:t>Steven Ca</w:t>
      </w:r>
      <w:r w:rsidR="00021BE9">
        <w:rPr>
          <w:szCs w:val="24"/>
        </w:rPr>
        <w:t xml:space="preserve">vallo (University of Oklahoma), Andrea Lang (University at Albany, SUNY), and </w:t>
      </w:r>
      <w:r w:rsidR="00DB5C3A">
        <w:rPr>
          <w:szCs w:val="24"/>
        </w:rPr>
        <w:t>Ryan To</w:t>
      </w:r>
      <w:r w:rsidR="00021BE9">
        <w:rPr>
          <w:szCs w:val="24"/>
        </w:rPr>
        <w:t>rn (University at Albany, SUNY)</w:t>
      </w:r>
      <w:r w:rsidR="00DB5C3A">
        <w:rPr>
          <w:szCs w:val="24"/>
        </w:rPr>
        <w:t xml:space="preserve"> </w:t>
      </w:r>
      <w:r w:rsidR="00DB5C3A" w:rsidRPr="00DB5C3A">
        <w:rPr>
          <w:szCs w:val="24"/>
        </w:rPr>
        <w:t xml:space="preserve">for </w:t>
      </w:r>
      <w:r w:rsidR="00DB5C3A">
        <w:rPr>
          <w:szCs w:val="24"/>
        </w:rPr>
        <w:t>helpful discussions.</w:t>
      </w:r>
      <w:r w:rsidR="007D7340">
        <w:rPr>
          <w:szCs w:val="24"/>
        </w:rPr>
        <w:t xml:space="preserve"> The authors thank Alex Crawford (</w:t>
      </w:r>
      <w:r w:rsidR="007D7340" w:rsidRPr="007D7340">
        <w:rPr>
          <w:szCs w:val="24"/>
        </w:rPr>
        <w:t>Centre for Earth Observation Science, University of Manitoba</w:t>
      </w:r>
      <w:r w:rsidR="006F4FFD">
        <w:rPr>
          <w:szCs w:val="24"/>
        </w:rPr>
        <w:t>) for providing</w:t>
      </w:r>
      <w:r w:rsidR="007D7340">
        <w:rPr>
          <w:szCs w:val="24"/>
        </w:rPr>
        <w:t xml:space="preserve"> cyclone tracking code.</w:t>
      </w:r>
      <w:r w:rsidR="00DB5C3A">
        <w:rPr>
          <w:szCs w:val="24"/>
        </w:rPr>
        <w:t xml:space="preserve"> </w:t>
      </w:r>
      <w:r w:rsidR="00DB5C3A" w:rsidRPr="00DB5C3A">
        <w:rPr>
          <w:szCs w:val="24"/>
        </w:rPr>
        <w:t>This research was performed as part of the first</w:t>
      </w:r>
      <w:r w:rsidR="00DB5C3A">
        <w:rPr>
          <w:szCs w:val="24"/>
        </w:rPr>
        <w:t xml:space="preserve"> author’s Ph.D. dissertation</w:t>
      </w:r>
      <w:r w:rsidR="00DB5C3A" w:rsidRPr="00DB5C3A">
        <w:rPr>
          <w:szCs w:val="24"/>
        </w:rPr>
        <w:t xml:space="preserve"> at the University at Albany, SUNY</w:t>
      </w:r>
      <w:r w:rsidR="00B83EAE">
        <w:rPr>
          <w:szCs w:val="24"/>
        </w:rPr>
        <w:t>, and</w:t>
      </w:r>
      <w:r w:rsidR="00DB5C3A" w:rsidRPr="00DB5C3A">
        <w:rPr>
          <w:szCs w:val="24"/>
        </w:rPr>
        <w:t xml:space="preserve"> was funded by ONR</w:t>
      </w:r>
      <w:r w:rsidR="00DB5C3A">
        <w:rPr>
          <w:szCs w:val="24"/>
        </w:rPr>
        <w:t xml:space="preserve"> </w:t>
      </w:r>
      <w:r w:rsidR="00DB5C3A" w:rsidRPr="00DB5C3A">
        <w:rPr>
          <w:szCs w:val="24"/>
        </w:rPr>
        <w:t>Grant N00014-18-1-2200.</w:t>
      </w:r>
    </w:p>
    <w:p w14:paraId="0D932914" w14:textId="77777777" w:rsidR="00DB5C3A" w:rsidRPr="00B36F8E" w:rsidRDefault="00DB5C3A" w:rsidP="00DB5C3A">
      <w:pPr>
        <w:rPr>
          <w:szCs w:val="24"/>
        </w:rPr>
      </w:pPr>
    </w:p>
    <w:p w14:paraId="7F170878" w14:textId="18F16CFF" w:rsidR="00D90B97" w:rsidRPr="00B36F8E" w:rsidRDefault="00B62DA7" w:rsidP="006E19A6">
      <w:pPr>
        <w:pStyle w:val="ComponentName2"/>
        <w:spacing w:after="120"/>
        <w:rPr>
          <w:szCs w:val="24"/>
        </w:rPr>
      </w:pPr>
      <w:r w:rsidRPr="00B36F8E">
        <w:rPr>
          <w:szCs w:val="24"/>
        </w:rPr>
        <w:t xml:space="preserve">Data </w:t>
      </w:r>
      <w:r w:rsidR="00940543">
        <w:rPr>
          <w:szCs w:val="24"/>
        </w:rPr>
        <w:t>a</w:t>
      </w:r>
      <w:r w:rsidRPr="00B36F8E">
        <w:rPr>
          <w:szCs w:val="24"/>
        </w:rPr>
        <w:t xml:space="preserve">vailability </w:t>
      </w:r>
      <w:r w:rsidR="00940543">
        <w:rPr>
          <w:szCs w:val="24"/>
        </w:rPr>
        <w:t>s</w:t>
      </w:r>
      <w:r w:rsidRPr="00B36F8E">
        <w:rPr>
          <w:szCs w:val="24"/>
        </w:rPr>
        <w:t>tatement.</w:t>
      </w:r>
    </w:p>
    <w:p w14:paraId="756D8601" w14:textId="79C5121B" w:rsidR="00D90B97" w:rsidRDefault="002E7B6C" w:rsidP="00B33A1F">
      <w:pPr>
        <w:widowControl w:val="0"/>
        <w:autoSpaceDE w:val="0"/>
        <w:autoSpaceDN w:val="0"/>
        <w:adjustRightInd w:val="0"/>
        <w:snapToGrid/>
        <w:spacing w:before="0" w:after="0"/>
        <w:rPr>
          <w:szCs w:val="24"/>
          <w:lang w:eastAsia="en-IN"/>
        </w:rPr>
      </w:pPr>
      <w:r>
        <w:rPr>
          <w:szCs w:val="24"/>
          <w:lang w:eastAsia="en-IN"/>
        </w:rPr>
        <w:t xml:space="preserve">The </w:t>
      </w:r>
      <w:r w:rsidRPr="00A1387D">
        <w:t>NOAA GEFS reforecast dataset v</w:t>
      </w:r>
      <w:r>
        <w:t xml:space="preserve">ersion 2 data </w:t>
      </w:r>
      <w:r w:rsidR="00C75B0D">
        <w:rPr>
          <w:szCs w:val="24"/>
          <w:lang w:eastAsia="en-IN"/>
        </w:rPr>
        <w:t>used in this study were</w:t>
      </w:r>
      <w:r>
        <w:rPr>
          <w:szCs w:val="24"/>
          <w:lang w:eastAsia="en-IN"/>
        </w:rPr>
        <w:t xml:space="preserve"> obtained from the NO</w:t>
      </w:r>
      <w:r w:rsidR="006F4FFD">
        <w:rPr>
          <w:szCs w:val="24"/>
          <w:lang w:eastAsia="en-IN"/>
        </w:rPr>
        <w:t>AA Physical Sciences Laboratory</w:t>
      </w:r>
      <w:r w:rsidR="00B33A1F">
        <w:rPr>
          <w:szCs w:val="24"/>
          <w:lang w:eastAsia="en-IN"/>
        </w:rPr>
        <w:t xml:space="preserve"> (</w:t>
      </w:r>
      <w:hyperlink r:id="rId21" w:history="1">
        <w:r w:rsidR="00B33A1F" w:rsidRPr="00B51FFB">
          <w:rPr>
            <w:rStyle w:val="Hyperlink"/>
            <w:szCs w:val="24"/>
            <w:lang w:eastAsia="en-IN"/>
          </w:rPr>
          <w:t>https://psl.noaa.gov/forecasts/reforecast2/</w:t>
        </w:r>
      </w:hyperlink>
      <w:r w:rsidR="00B33A1F">
        <w:rPr>
          <w:szCs w:val="24"/>
          <w:lang w:eastAsia="en-IN"/>
        </w:rPr>
        <w:t>)</w:t>
      </w:r>
      <w:r w:rsidRPr="002E7B6C">
        <w:rPr>
          <w:szCs w:val="24"/>
          <w:lang w:eastAsia="en-IN"/>
        </w:rPr>
        <w:t>. The ERA-Interim data used in</w:t>
      </w:r>
      <w:r>
        <w:rPr>
          <w:szCs w:val="24"/>
          <w:lang w:eastAsia="en-IN"/>
        </w:rPr>
        <w:t xml:space="preserve"> </w:t>
      </w:r>
      <w:r w:rsidRPr="002E7B6C">
        <w:rPr>
          <w:szCs w:val="24"/>
          <w:lang w:eastAsia="en-IN"/>
        </w:rPr>
        <w:t>this</w:t>
      </w:r>
      <w:r w:rsidR="00C75B0D">
        <w:rPr>
          <w:szCs w:val="24"/>
          <w:lang w:eastAsia="en-IN"/>
        </w:rPr>
        <w:t xml:space="preserve"> study were obtained from </w:t>
      </w:r>
      <w:r w:rsidR="00135C78" w:rsidRPr="00135C78">
        <w:rPr>
          <w:szCs w:val="24"/>
          <w:lang w:eastAsia="en-IN"/>
        </w:rPr>
        <w:t>European Centre for Me</w:t>
      </w:r>
      <w:r w:rsidR="00135C78">
        <w:rPr>
          <w:szCs w:val="24"/>
          <w:lang w:eastAsia="en-IN"/>
        </w:rPr>
        <w:t>dium-Range Weather Forecasts</w:t>
      </w:r>
      <w:r w:rsidR="00C75B0D">
        <w:rPr>
          <w:szCs w:val="24"/>
          <w:lang w:eastAsia="en-IN"/>
        </w:rPr>
        <w:t xml:space="preserve"> (2009).</w:t>
      </w:r>
    </w:p>
    <w:p w14:paraId="5F45A2C8" w14:textId="77777777" w:rsidR="00B20667" w:rsidRDefault="00B20667" w:rsidP="00182E51">
      <w:pPr>
        <w:widowControl w:val="0"/>
        <w:autoSpaceDE w:val="0"/>
        <w:autoSpaceDN w:val="0"/>
        <w:adjustRightInd w:val="0"/>
        <w:snapToGrid/>
        <w:spacing w:before="0" w:after="0"/>
        <w:rPr>
          <w:szCs w:val="24"/>
          <w:lang w:eastAsia="en-IN"/>
        </w:rPr>
      </w:pPr>
    </w:p>
    <w:p w14:paraId="713B5EC4" w14:textId="77777777" w:rsidR="004C3218" w:rsidRDefault="004C3218" w:rsidP="00182E51">
      <w:pPr>
        <w:widowControl w:val="0"/>
        <w:autoSpaceDE w:val="0"/>
        <w:autoSpaceDN w:val="0"/>
        <w:adjustRightInd w:val="0"/>
        <w:snapToGrid/>
        <w:spacing w:before="0" w:after="0"/>
        <w:rPr>
          <w:szCs w:val="24"/>
          <w:lang w:eastAsia="en-IN"/>
        </w:rPr>
      </w:pPr>
    </w:p>
    <w:p w14:paraId="4F54E880" w14:textId="77777777" w:rsidR="004C3218" w:rsidRDefault="004C3218" w:rsidP="00182E51">
      <w:pPr>
        <w:widowControl w:val="0"/>
        <w:autoSpaceDE w:val="0"/>
        <w:autoSpaceDN w:val="0"/>
        <w:adjustRightInd w:val="0"/>
        <w:snapToGrid/>
        <w:spacing w:before="0" w:after="0"/>
        <w:rPr>
          <w:szCs w:val="24"/>
          <w:lang w:eastAsia="en-IN"/>
        </w:rPr>
      </w:pPr>
    </w:p>
    <w:p w14:paraId="500A309D" w14:textId="77777777" w:rsidR="00170A72" w:rsidRDefault="00170A72" w:rsidP="00186C12">
      <w:pPr>
        <w:widowControl w:val="0"/>
        <w:autoSpaceDE w:val="0"/>
        <w:autoSpaceDN w:val="0"/>
        <w:adjustRightInd w:val="0"/>
        <w:snapToGrid/>
        <w:spacing w:before="0" w:after="0"/>
        <w:ind w:firstLine="0"/>
        <w:rPr>
          <w:szCs w:val="24"/>
          <w:lang w:eastAsia="en-IN"/>
        </w:rPr>
      </w:pPr>
    </w:p>
    <w:p w14:paraId="5A6FE33E" w14:textId="77777777" w:rsidR="00EC2C91" w:rsidRDefault="00EC2C91" w:rsidP="00186C12">
      <w:pPr>
        <w:widowControl w:val="0"/>
        <w:autoSpaceDE w:val="0"/>
        <w:autoSpaceDN w:val="0"/>
        <w:adjustRightInd w:val="0"/>
        <w:snapToGrid/>
        <w:spacing w:before="0" w:after="0"/>
        <w:ind w:firstLine="0"/>
        <w:rPr>
          <w:szCs w:val="24"/>
          <w:lang w:eastAsia="en-IN"/>
        </w:rPr>
      </w:pPr>
    </w:p>
    <w:p w14:paraId="08742F68" w14:textId="77777777" w:rsidR="007748C0" w:rsidRDefault="007748C0" w:rsidP="00186C12">
      <w:pPr>
        <w:widowControl w:val="0"/>
        <w:autoSpaceDE w:val="0"/>
        <w:autoSpaceDN w:val="0"/>
        <w:adjustRightInd w:val="0"/>
        <w:snapToGrid/>
        <w:spacing w:before="0" w:after="0"/>
        <w:ind w:firstLine="0"/>
        <w:rPr>
          <w:szCs w:val="24"/>
          <w:lang w:eastAsia="en-IN"/>
        </w:rPr>
      </w:pPr>
    </w:p>
    <w:p w14:paraId="62A0698C" w14:textId="77777777" w:rsidR="00816E83" w:rsidRDefault="00816E83" w:rsidP="00186C12">
      <w:pPr>
        <w:widowControl w:val="0"/>
        <w:autoSpaceDE w:val="0"/>
        <w:autoSpaceDN w:val="0"/>
        <w:adjustRightInd w:val="0"/>
        <w:snapToGrid/>
        <w:spacing w:before="0" w:after="0"/>
        <w:ind w:firstLine="0"/>
        <w:rPr>
          <w:szCs w:val="24"/>
          <w:lang w:eastAsia="en-IN"/>
        </w:rPr>
      </w:pPr>
    </w:p>
    <w:p w14:paraId="1D84C354" w14:textId="77777777" w:rsidR="00816E83" w:rsidRDefault="00816E83" w:rsidP="00186C12">
      <w:pPr>
        <w:widowControl w:val="0"/>
        <w:autoSpaceDE w:val="0"/>
        <w:autoSpaceDN w:val="0"/>
        <w:adjustRightInd w:val="0"/>
        <w:snapToGrid/>
        <w:spacing w:before="0" w:after="0"/>
        <w:ind w:firstLine="0"/>
        <w:rPr>
          <w:szCs w:val="24"/>
          <w:lang w:eastAsia="en-IN"/>
        </w:rPr>
      </w:pPr>
    </w:p>
    <w:p w14:paraId="5AF86780" w14:textId="5F1C80E7" w:rsidR="00EC535C" w:rsidRDefault="00EC535C" w:rsidP="00186C12">
      <w:pPr>
        <w:widowControl w:val="0"/>
        <w:autoSpaceDE w:val="0"/>
        <w:autoSpaceDN w:val="0"/>
        <w:adjustRightInd w:val="0"/>
        <w:snapToGrid/>
        <w:spacing w:before="0" w:after="0"/>
        <w:ind w:firstLine="0"/>
        <w:rPr>
          <w:szCs w:val="24"/>
          <w:lang w:eastAsia="en-IN"/>
        </w:rPr>
      </w:pPr>
    </w:p>
    <w:p w14:paraId="6389FB0D" w14:textId="67B466DB" w:rsidR="0011292C" w:rsidRDefault="0011292C" w:rsidP="00186C12">
      <w:pPr>
        <w:widowControl w:val="0"/>
        <w:autoSpaceDE w:val="0"/>
        <w:autoSpaceDN w:val="0"/>
        <w:adjustRightInd w:val="0"/>
        <w:snapToGrid/>
        <w:spacing w:before="0" w:after="0"/>
        <w:ind w:firstLine="0"/>
        <w:rPr>
          <w:szCs w:val="24"/>
          <w:lang w:eastAsia="en-IN"/>
        </w:rPr>
      </w:pPr>
    </w:p>
    <w:p w14:paraId="0EDAD49A" w14:textId="5F8F3BEC" w:rsidR="0011292C" w:rsidRDefault="0011292C" w:rsidP="00186C12">
      <w:pPr>
        <w:widowControl w:val="0"/>
        <w:autoSpaceDE w:val="0"/>
        <w:autoSpaceDN w:val="0"/>
        <w:adjustRightInd w:val="0"/>
        <w:snapToGrid/>
        <w:spacing w:before="0" w:after="0"/>
        <w:ind w:firstLine="0"/>
        <w:rPr>
          <w:szCs w:val="24"/>
          <w:lang w:eastAsia="en-IN"/>
        </w:rPr>
      </w:pPr>
    </w:p>
    <w:p w14:paraId="7ECA93A8" w14:textId="77777777" w:rsidR="0011292C" w:rsidRPr="00182E51" w:rsidRDefault="0011292C" w:rsidP="00186C12">
      <w:pPr>
        <w:widowControl w:val="0"/>
        <w:autoSpaceDE w:val="0"/>
        <w:autoSpaceDN w:val="0"/>
        <w:adjustRightInd w:val="0"/>
        <w:snapToGrid/>
        <w:spacing w:before="0" w:after="0"/>
        <w:ind w:firstLine="0"/>
        <w:rPr>
          <w:szCs w:val="24"/>
          <w:lang w:eastAsia="en-IN"/>
        </w:rPr>
      </w:pPr>
    </w:p>
    <w:p w14:paraId="05BAC3C9" w14:textId="77777777" w:rsidR="00D90B97" w:rsidRPr="00F019AD" w:rsidRDefault="00D90B97" w:rsidP="006E19A6">
      <w:pPr>
        <w:pStyle w:val="ComponentName"/>
      </w:pPr>
      <w:r w:rsidRPr="00F019AD">
        <w:lastRenderedPageBreak/>
        <w:t>REFERENCES</w:t>
      </w:r>
    </w:p>
    <w:p w14:paraId="48630A49" w14:textId="1F6C383B" w:rsidR="001D0C7F" w:rsidRDefault="001D0C7F" w:rsidP="00736BB5">
      <w:pPr>
        <w:ind w:left="360" w:hanging="360"/>
      </w:pPr>
      <w:r w:rsidRPr="001D0C7F">
        <w:t>Aizawa, T., H. L. Tanaka, and M. Satoh, 2014: Rapid development of arctic cyclone in June</w:t>
      </w:r>
      <w:r w:rsidR="00125ABA">
        <w:t xml:space="preserve"> </w:t>
      </w:r>
      <w:r w:rsidRPr="001D0C7F">
        <w:t xml:space="preserve">2008 simulated by the cloud resolving global model NICAM. </w:t>
      </w:r>
      <w:r w:rsidRPr="001D0C7F">
        <w:rPr>
          <w:i/>
        </w:rPr>
        <w:t>Meteor. Atmos. Phys.</w:t>
      </w:r>
      <w:r w:rsidRPr="001D0C7F">
        <w:t>,</w:t>
      </w:r>
      <w:r>
        <w:t xml:space="preserve"> </w:t>
      </w:r>
      <w:r w:rsidRPr="001D0C7F">
        <w:rPr>
          <w:b/>
        </w:rPr>
        <w:t>126</w:t>
      </w:r>
      <w:r w:rsidRPr="001D0C7F">
        <w:t xml:space="preserve">, 105–117, </w:t>
      </w:r>
      <w:hyperlink r:id="rId22" w:history="1">
        <w:r w:rsidR="00736BB5" w:rsidRPr="00926B03">
          <w:rPr>
            <w:rStyle w:val="Hyperlink"/>
          </w:rPr>
          <w:t>https://doi.org/10.1007/s00703-013-0272-6</w:t>
        </w:r>
      </w:hyperlink>
      <w:r w:rsidRPr="001D0C7F">
        <w:t>.</w:t>
      </w:r>
    </w:p>
    <w:p w14:paraId="2B94B5B4" w14:textId="5FF239C2" w:rsidR="00527D6B" w:rsidRDefault="00527D6B" w:rsidP="00EA4B43">
      <w:pPr>
        <w:ind w:left="360" w:hanging="360"/>
      </w:pPr>
      <w:proofErr w:type="spellStart"/>
      <w:r>
        <w:t>Asplin</w:t>
      </w:r>
      <w:proofErr w:type="spellEnd"/>
      <w:r>
        <w:t xml:space="preserve">, M. G., R. Galley, D. G. Barber, and S. </w:t>
      </w:r>
      <w:proofErr w:type="spellStart"/>
      <w:r>
        <w:t>Prinsenberg</w:t>
      </w:r>
      <w:proofErr w:type="spellEnd"/>
      <w:r>
        <w:t xml:space="preserve">, 2012: Fracture of summer perennial sea ice by ocean swell as a result of Arctic storms. </w:t>
      </w:r>
      <w:r w:rsidRPr="007C5835">
        <w:rPr>
          <w:i/>
        </w:rPr>
        <w:t xml:space="preserve">J. </w:t>
      </w:r>
      <w:proofErr w:type="spellStart"/>
      <w:r w:rsidRPr="007C5835">
        <w:rPr>
          <w:i/>
        </w:rPr>
        <w:t>Geophys</w:t>
      </w:r>
      <w:proofErr w:type="spellEnd"/>
      <w:r w:rsidRPr="007C5835">
        <w:rPr>
          <w:i/>
        </w:rPr>
        <w:t>. Res.</w:t>
      </w:r>
      <w:r>
        <w:t xml:space="preserve">, </w:t>
      </w:r>
      <w:r w:rsidRPr="007C5835">
        <w:rPr>
          <w:b/>
        </w:rPr>
        <w:t>117</w:t>
      </w:r>
      <w:r>
        <w:t xml:space="preserve">, C06025, </w:t>
      </w:r>
      <w:hyperlink r:id="rId23" w:history="1">
        <w:r w:rsidR="00EA4B43" w:rsidRPr="00926B03">
          <w:rPr>
            <w:rStyle w:val="Hyperlink"/>
          </w:rPr>
          <w:t>https://doi.org/10.1029/2011JC007221</w:t>
        </w:r>
      </w:hyperlink>
      <w:r>
        <w:t>.</w:t>
      </w:r>
    </w:p>
    <w:p w14:paraId="5A73E80D" w14:textId="671DE153" w:rsidR="00A7589B" w:rsidRDefault="00A7589B" w:rsidP="00EA4B43">
      <w:pPr>
        <w:ind w:left="360" w:hanging="360"/>
      </w:pPr>
      <w:r>
        <w:t xml:space="preserve">Bauer, P., L. Magnusson, J.-N. </w:t>
      </w:r>
      <w:proofErr w:type="spellStart"/>
      <w:r>
        <w:t>Thépaut</w:t>
      </w:r>
      <w:proofErr w:type="spellEnd"/>
      <w:r>
        <w:t xml:space="preserve">, and T. M. Hamill, 2016: Aspects of ECMWF model performance in polar areas. </w:t>
      </w:r>
      <w:r w:rsidRPr="00A7589B">
        <w:rPr>
          <w:i/>
        </w:rPr>
        <w:t>Quart. J. Roy. Meteor. Soc.</w:t>
      </w:r>
      <w:r>
        <w:t xml:space="preserve">, </w:t>
      </w:r>
      <w:r w:rsidRPr="00A7589B">
        <w:rPr>
          <w:b/>
        </w:rPr>
        <w:t>142</w:t>
      </w:r>
      <w:r>
        <w:t xml:space="preserve">, 583–596, </w:t>
      </w:r>
      <w:hyperlink r:id="rId24" w:history="1">
        <w:r w:rsidR="00EA4B43" w:rsidRPr="00926B03">
          <w:rPr>
            <w:rStyle w:val="Hyperlink"/>
          </w:rPr>
          <w:t>https://doi.org/10.1002/qj.2449</w:t>
        </w:r>
      </w:hyperlink>
      <w:r>
        <w:t>.</w:t>
      </w:r>
    </w:p>
    <w:p w14:paraId="12F946B1" w14:textId="4F723A5E" w:rsidR="00BD69FF" w:rsidRDefault="009844B9" w:rsidP="00BD69FF">
      <w:pPr>
        <w:ind w:left="360" w:hanging="360"/>
      </w:pPr>
      <w:proofErr w:type="spellStart"/>
      <w:r>
        <w:t>Biernat</w:t>
      </w:r>
      <w:proofErr w:type="spellEnd"/>
      <w:r>
        <w:t>, K. A., 2021</w:t>
      </w:r>
      <w:r w:rsidRPr="009844B9">
        <w:t xml:space="preserve">: </w:t>
      </w:r>
      <w:r>
        <w:t>An examination of the Arctic environment and Arctic cyclones during periods of low and high forecast skill of the synoptic-scale flow</w:t>
      </w:r>
      <w:r w:rsidRPr="009844B9">
        <w:t>. Ph.D. dissertation, University at Albany, State Univers</w:t>
      </w:r>
      <w:r>
        <w:t>ity of New York, Albany, NY, 166</w:t>
      </w:r>
      <w:r w:rsidRPr="009844B9">
        <w:t xml:space="preserve"> pp</w:t>
      </w:r>
      <w:r w:rsidR="00BD69FF">
        <w:t xml:space="preserve">, </w:t>
      </w:r>
      <w:hyperlink r:id="rId25" w:history="1">
        <w:r w:rsidR="00BD69FF" w:rsidRPr="00FF6618">
          <w:rPr>
            <w:rStyle w:val="Hyperlink"/>
          </w:rPr>
          <w:t>https://www.proquest.com/openview/50a9a3a684cacaf144ed6578d7f93ebe</w:t>
        </w:r>
      </w:hyperlink>
      <w:r w:rsidR="00BD69FF">
        <w:t>.</w:t>
      </w:r>
    </w:p>
    <w:p w14:paraId="197D6CCE" w14:textId="38455D97" w:rsidR="00527D6B" w:rsidRDefault="00527D6B" w:rsidP="00EA4B43">
      <w:pPr>
        <w:ind w:left="360" w:hanging="360"/>
      </w:pPr>
      <w:r>
        <w:t xml:space="preserve">Binder, H., M. Boettcher, C. M. Grams, H. </w:t>
      </w:r>
      <w:proofErr w:type="spellStart"/>
      <w:r>
        <w:t>Joos</w:t>
      </w:r>
      <w:proofErr w:type="spellEnd"/>
      <w:r>
        <w:t xml:space="preserve">, S. </w:t>
      </w:r>
      <w:proofErr w:type="spellStart"/>
      <w:r>
        <w:t>Pfahl</w:t>
      </w:r>
      <w:proofErr w:type="spellEnd"/>
      <w:r>
        <w:t xml:space="preserve">, and H. </w:t>
      </w:r>
      <w:proofErr w:type="spellStart"/>
      <w:r>
        <w:t>Wernli</w:t>
      </w:r>
      <w:proofErr w:type="spellEnd"/>
      <w:r>
        <w:t xml:space="preserve">, 2017: Exceptional air mass transport and dynamical drivers of an extreme wintertime Arctic warm event. </w:t>
      </w:r>
      <w:proofErr w:type="spellStart"/>
      <w:r w:rsidRPr="007C5835">
        <w:rPr>
          <w:i/>
        </w:rPr>
        <w:t>Geophys</w:t>
      </w:r>
      <w:proofErr w:type="spellEnd"/>
      <w:r w:rsidRPr="007C5835">
        <w:rPr>
          <w:i/>
        </w:rPr>
        <w:t>. Res. Lett.</w:t>
      </w:r>
      <w:r>
        <w:t xml:space="preserve">, </w:t>
      </w:r>
      <w:r w:rsidRPr="007C5835">
        <w:rPr>
          <w:b/>
        </w:rPr>
        <w:t>44</w:t>
      </w:r>
      <w:r>
        <w:t xml:space="preserve">, 12028–12036, </w:t>
      </w:r>
      <w:hyperlink r:id="rId26" w:history="1">
        <w:r w:rsidR="00EA4B43" w:rsidRPr="00926B03">
          <w:rPr>
            <w:rStyle w:val="Hyperlink"/>
          </w:rPr>
          <w:t>https://doi.org/10.1002/2017GL075841</w:t>
        </w:r>
      </w:hyperlink>
      <w:r>
        <w:t>.</w:t>
      </w:r>
    </w:p>
    <w:p w14:paraId="0FA5B392" w14:textId="44A60B30" w:rsidR="007274BD" w:rsidRDefault="007274BD" w:rsidP="007274BD">
      <w:pPr>
        <w:ind w:left="360" w:hanging="360"/>
      </w:pPr>
      <w:r>
        <w:t xml:space="preserve">Blanchard-Wrigglesworth, E., M. Webster, L. Boisvert, C. Parker, and C. Horvat, 2022: Record Arctic cyclone of January 2022: Characteristics, impacts, and predictability. </w:t>
      </w:r>
      <w:r w:rsidRPr="000218AC">
        <w:rPr>
          <w:i/>
        </w:rPr>
        <w:t xml:space="preserve">J. </w:t>
      </w:r>
      <w:proofErr w:type="spellStart"/>
      <w:r w:rsidRPr="000218AC">
        <w:rPr>
          <w:i/>
        </w:rPr>
        <w:t>Geophys</w:t>
      </w:r>
      <w:proofErr w:type="spellEnd"/>
      <w:r w:rsidRPr="000218AC">
        <w:rPr>
          <w:i/>
        </w:rPr>
        <w:t>. Res. Atmos.</w:t>
      </w:r>
      <w:r>
        <w:t xml:space="preserve">, e2022JD037161, </w:t>
      </w:r>
      <w:hyperlink r:id="rId27" w:history="1">
        <w:r w:rsidRPr="00747EF0">
          <w:rPr>
            <w:rStyle w:val="Hyperlink"/>
          </w:rPr>
          <w:t>https://doi.org/10.1029/2022JD037161</w:t>
        </w:r>
      </w:hyperlink>
      <w:r>
        <w:t>.</w:t>
      </w:r>
    </w:p>
    <w:p w14:paraId="2DFB85C3" w14:textId="282BF65D" w:rsidR="00D96778" w:rsidRDefault="00D96778" w:rsidP="00EA4B43">
      <w:pPr>
        <w:ind w:left="360" w:hanging="360"/>
      </w:pPr>
      <w:proofErr w:type="spellStart"/>
      <w:r>
        <w:t>Boisserie</w:t>
      </w:r>
      <w:proofErr w:type="spellEnd"/>
      <w:r>
        <w:t xml:space="preserve">, M., P. Arbogast, L. Descamps, O. </w:t>
      </w:r>
      <w:proofErr w:type="spellStart"/>
      <w:r>
        <w:t>Pannekoucke</w:t>
      </w:r>
      <w:proofErr w:type="spellEnd"/>
      <w:r>
        <w:t xml:space="preserve">, and L. Raynaud, 2014: Estimating and diagnosing model error variances in the </w:t>
      </w:r>
      <w:proofErr w:type="spellStart"/>
      <w:r>
        <w:t>Météo</w:t>
      </w:r>
      <w:proofErr w:type="spellEnd"/>
      <w:r>
        <w:t xml:space="preserve">-France global NWP model. </w:t>
      </w:r>
      <w:r w:rsidRPr="00D96778">
        <w:rPr>
          <w:i/>
        </w:rPr>
        <w:t>Quart. J. Roy. Meteor. Soc.</w:t>
      </w:r>
      <w:r>
        <w:t xml:space="preserve">, </w:t>
      </w:r>
      <w:r w:rsidRPr="00D96778">
        <w:rPr>
          <w:b/>
        </w:rPr>
        <w:t>140</w:t>
      </w:r>
      <w:r>
        <w:t xml:space="preserve">, 846–854, </w:t>
      </w:r>
      <w:hyperlink r:id="rId28" w:history="1">
        <w:r w:rsidR="00EA4B43" w:rsidRPr="00926B03">
          <w:rPr>
            <w:rStyle w:val="Hyperlink"/>
          </w:rPr>
          <w:t>https://doi.org/10.1002/qj.2173</w:t>
        </w:r>
      </w:hyperlink>
      <w:r>
        <w:t>.</w:t>
      </w:r>
    </w:p>
    <w:p w14:paraId="6AF09880" w14:textId="295ECE95" w:rsidR="00163F86" w:rsidRDefault="00163F86" w:rsidP="00163F86">
      <w:pPr>
        <w:ind w:left="360" w:hanging="360"/>
      </w:pPr>
      <w:proofErr w:type="spellStart"/>
      <w:r w:rsidRPr="00163F86">
        <w:t>Brodzik</w:t>
      </w:r>
      <w:proofErr w:type="spellEnd"/>
      <w:r w:rsidRPr="00163F86">
        <w:t xml:space="preserve">, M. J., B. Billingsley, T. Haran, B. </w:t>
      </w:r>
      <w:proofErr w:type="spellStart"/>
      <w:r w:rsidRPr="00163F86">
        <w:t>Raup</w:t>
      </w:r>
      <w:proofErr w:type="spellEnd"/>
      <w:r w:rsidRPr="00163F86">
        <w:t xml:space="preserve">, and M. H. </w:t>
      </w:r>
      <w:proofErr w:type="spellStart"/>
      <w:r w:rsidRPr="00163F86">
        <w:t>Savoie</w:t>
      </w:r>
      <w:proofErr w:type="spellEnd"/>
      <w:r w:rsidRPr="00163F86">
        <w:t xml:space="preserve">, 2012: EASE-Grid 2.0: Incremental but significant improvements for Earth-gridded data sets. </w:t>
      </w:r>
      <w:r w:rsidRPr="00163F86">
        <w:rPr>
          <w:i/>
          <w:iCs/>
        </w:rPr>
        <w:t xml:space="preserve">ISPRS Int. J. </w:t>
      </w:r>
      <w:proofErr w:type="spellStart"/>
      <w:r w:rsidRPr="00163F86">
        <w:rPr>
          <w:i/>
          <w:iCs/>
        </w:rPr>
        <w:t>Geoinf</w:t>
      </w:r>
      <w:proofErr w:type="spellEnd"/>
      <w:r w:rsidRPr="00163F86">
        <w:rPr>
          <w:i/>
          <w:iCs/>
        </w:rPr>
        <w:t>.</w:t>
      </w:r>
      <w:r w:rsidRPr="00163F86">
        <w:t xml:space="preserve">, </w:t>
      </w:r>
      <w:r w:rsidRPr="00163F86">
        <w:rPr>
          <w:b/>
          <w:bCs/>
        </w:rPr>
        <w:t>1</w:t>
      </w:r>
      <w:r w:rsidRPr="00163F86">
        <w:t xml:space="preserve">, 32–45, </w:t>
      </w:r>
      <w:hyperlink r:id="rId29" w:history="1">
        <w:r w:rsidRPr="00747EF0">
          <w:rPr>
            <w:rStyle w:val="Hyperlink"/>
          </w:rPr>
          <w:t>https://doi.org/10.3390/ijgi1010032</w:t>
        </w:r>
      </w:hyperlink>
      <w:r w:rsidRPr="00163F86">
        <w:t>.</w:t>
      </w:r>
    </w:p>
    <w:p w14:paraId="75E01C26" w14:textId="5FF4609A" w:rsidR="00527D6B" w:rsidRDefault="00527D6B" w:rsidP="00EA4B43">
      <w:pPr>
        <w:ind w:left="360" w:hanging="360"/>
      </w:pPr>
      <w:proofErr w:type="spellStart"/>
      <w:r>
        <w:t>Capute</w:t>
      </w:r>
      <w:proofErr w:type="spellEnd"/>
      <w:r>
        <w:t xml:space="preserve">, P. K., and R. D. Torn, 2021: A comparison of Arctic and Atlantic cyclone predictability. </w:t>
      </w:r>
      <w:r w:rsidRPr="007C5835">
        <w:rPr>
          <w:i/>
        </w:rPr>
        <w:t>Mon. Wea. Rev.</w:t>
      </w:r>
      <w:r>
        <w:t xml:space="preserve">, </w:t>
      </w:r>
      <w:r w:rsidRPr="007C5835">
        <w:rPr>
          <w:b/>
        </w:rPr>
        <w:t>149</w:t>
      </w:r>
      <w:r>
        <w:t xml:space="preserve">, 3837–3849, </w:t>
      </w:r>
      <w:hyperlink r:id="rId30" w:history="1">
        <w:r w:rsidR="00EA4B43" w:rsidRPr="00926B03">
          <w:rPr>
            <w:rStyle w:val="Hyperlink"/>
          </w:rPr>
          <w:t>https://doi.org/10.1175/MWR-D-20-0350.1</w:t>
        </w:r>
      </w:hyperlink>
      <w:r>
        <w:t>.</w:t>
      </w:r>
    </w:p>
    <w:p w14:paraId="27FB42AA" w14:textId="22309D6E" w:rsidR="006B062D" w:rsidRPr="006B062D" w:rsidRDefault="006B062D" w:rsidP="00EA4B43">
      <w:pPr>
        <w:ind w:left="360" w:hanging="360"/>
        <w:rPr>
          <w:color w:val="000000" w:themeColor="text1"/>
        </w:rPr>
      </w:pPr>
      <w:r w:rsidRPr="00F34A55">
        <w:rPr>
          <w:color w:val="000000" w:themeColor="text1"/>
        </w:rPr>
        <w:lastRenderedPageBreak/>
        <w:t xml:space="preserve">Cavallo, S. M., and G. J. Hakim, 2009: Potential vorticity diagnosis of a tropopause polar cyclone. </w:t>
      </w:r>
      <w:r w:rsidRPr="00F34A55">
        <w:rPr>
          <w:i/>
          <w:color w:val="000000" w:themeColor="text1"/>
        </w:rPr>
        <w:t>Mon. Wea. Rev.</w:t>
      </w:r>
      <w:r w:rsidRPr="00F34A55">
        <w:rPr>
          <w:color w:val="000000" w:themeColor="text1"/>
        </w:rPr>
        <w:t xml:space="preserve">, </w:t>
      </w:r>
      <w:r w:rsidRPr="00F34A55">
        <w:rPr>
          <w:b/>
          <w:color w:val="000000" w:themeColor="text1"/>
        </w:rPr>
        <w:t>137</w:t>
      </w:r>
      <w:r w:rsidRPr="00F34A55">
        <w:rPr>
          <w:color w:val="000000" w:themeColor="text1"/>
        </w:rPr>
        <w:t xml:space="preserve">, 1358–1371, </w:t>
      </w:r>
      <w:hyperlink r:id="rId31" w:history="1">
        <w:r w:rsidR="00EA4B43" w:rsidRPr="00926B03">
          <w:rPr>
            <w:rStyle w:val="Hyperlink"/>
          </w:rPr>
          <w:t>https://doi.org/10.1175/2008MWR2670.1</w:t>
        </w:r>
      </w:hyperlink>
      <w:r w:rsidRPr="00F34A55">
        <w:rPr>
          <w:color w:val="000000" w:themeColor="text1"/>
        </w:rPr>
        <w:t>.</w:t>
      </w:r>
    </w:p>
    <w:p w14:paraId="1A6A8122" w14:textId="231B469B" w:rsidR="00527D6B" w:rsidRDefault="00527D6B" w:rsidP="00EA4B43">
      <w:pPr>
        <w:ind w:left="360" w:hanging="360"/>
      </w:pPr>
      <w:r>
        <w:t xml:space="preserve">Cavallo, S. M., and G. J. Hakim, 2010: Composite structure of tropopause polar cyclones. </w:t>
      </w:r>
      <w:r w:rsidRPr="007C5835">
        <w:rPr>
          <w:i/>
        </w:rPr>
        <w:t>Mon. Wea. Rev.</w:t>
      </w:r>
      <w:r>
        <w:t xml:space="preserve">, </w:t>
      </w:r>
      <w:r w:rsidRPr="007C5835">
        <w:rPr>
          <w:b/>
        </w:rPr>
        <w:t>138</w:t>
      </w:r>
      <w:r>
        <w:t xml:space="preserve">, 3840–3857, </w:t>
      </w:r>
      <w:hyperlink r:id="rId32" w:history="1">
        <w:r w:rsidR="00EA4B43" w:rsidRPr="00926B03">
          <w:rPr>
            <w:rStyle w:val="Hyperlink"/>
          </w:rPr>
          <w:t>https://doi.org/10.1175/2010MWR3371.1</w:t>
        </w:r>
      </w:hyperlink>
      <w:r>
        <w:t>.</w:t>
      </w:r>
    </w:p>
    <w:p w14:paraId="5D6C5E9B" w14:textId="394335F4" w:rsidR="006B062D" w:rsidRPr="006B062D" w:rsidRDefault="006B062D" w:rsidP="00EA4B43">
      <w:pPr>
        <w:ind w:left="360" w:hanging="360"/>
        <w:rPr>
          <w:color w:val="000000" w:themeColor="text1"/>
        </w:rPr>
      </w:pPr>
      <w:r w:rsidRPr="00F34A55">
        <w:rPr>
          <w:color w:val="000000" w:themeColor="text1"/>
        </w:rPr>
        <w:t xml:space="preserve">Cavallo, S. M., and G. J. Hakim, 2012: Radiative impact on tropopause polar vortices over the Arctic. </w:t>
      </w:r>
      <w:r w:rsidRPr="00F34A55">
        <w:rPr>
          <w:i/>
          <w:color w:val="000000" w:themeColor="text1"/>
        </w:rPr>
        <w:t>Mon. Wea. Rev.</w:t>
      </w:r>
      <w:r w:rsidRPr="00F34A55">
        <w:rPr>
          <w:color w:val="000000" w:themeColor="text1"/>
        </w:rPr>
        <w:t xml:space="preserve">, </w:t>
      </w:r>
      <w:r w:rsidRPr="00F34A55">
        <w:rPr>
          <w:b/>
          <w:color w:val="000000" w:themeColor="text1"/>
        </w:rPr>
        <w:t>140</w:t>
      </w:r>
      <w:r w:rsidRPr="00F34A55">
        <w:rPr>
          <w:color w:val="000000" w:themeColor="text1"/>
        </w:rPr>
        <w:t xml:space="preserve">, 1683–1702, </w:t>
      </w:r>
      <w:hyperlink r:id="rId33" w:history="1">
        <w:r w:rsidR="00EA4B43" w:rsidRPr="00926B03">
          <w:rPr>
            <w:rStyle w:val="Hyperlink"/>
          </w:rPr>
          <w:t>https://doi.org/10.1175/MWR-D-11-00182.1</w:t>
        </w:r>
      </w:hyperlink>
      <w:r w:rsidRPr="00F34A55">
        <w:rPr>
          <w:color w:val="000000" w:themeColor="text1"/>
        </w:rPr>
        <w:t>.</w:t>
      </w:r>
    </w:p>
    <w:p w14:paraId="061EAB4B" w14:textId="2BF234AC" w:rsidR="002B29FF" w:rsidRDefault="002B29FF" w:rsidP="002B29FF">
      <w:pPr>
        <w:ind w:left="360" w:hanging="360"/>
      </w:pPr>
      <w:r>
        <w:t xml:space="preserve">Crawford, A., and M. Serreze, 2015: A new look at the summer Arctic frontal zone. </w:t>
      </w:r>
      <w:r w:rsidRPr="002B29FF">
        <w:rPr>
          <w:i/>
        </w:rPr>
        <w:t>J. Climate</w:t>
      </w:r>
      <w:r>
        <w:t xml:space="preserve">, </w:t>
      </w:r>
      <w:r w:rsidRPr="002B29FF">
        <w:rPr>
          <w:b/>
        </w:rPr>
        <w:t>28</w:t>
      </w:r>
      <w:r>
        <w:t xml:space="preserve">, 737–754, </w:t>
      </w:r>
      <w:hyperlink r:id="rId34" w:history="1">
        <w:r w:rsidRPr="00926B03">
          <w:rPr>
            <w:rStyle w:val="Hyperlink"/>
          </w:rPr>
          <w:t>https://doi.org/10.1175/JCLI-D-14-00447.1</w:t>
        </w:r>
      </w:hyperlink>
      <w:r>
        <w:t>.</w:t>
      </w:r>
    </w:p>
    <w:p w14:paraId="5A5CF846" w14:textId="0822538C" w:rsidR="00527D6B" w:rsidRDefault="00527D6B" w:rsidP="00EA4B43">
      <w:pPr>
        <w:ind w:left="360" w:hanging="360"/>
      </w:pPr>
      <w:r>
        <w:t xml:space="preserve">Crawford, A. D., and M. C. Serreze, 2016: Does the summer Arctic frontal zone influence Arctic Ocean cyclone activity? </w:t>
      </w:r>
      <w:r w:rsidRPr="007C5835">
        <w:rPr>
          <w:i/>
        </w:rPr>
        <w:t>J. Climate</w:t>
      </w:r>
      <w:r>
        <w:t xml:space="preserve">, </w:t>
      </w:r>
      <w:r w:rsidRPr="007C5835">
        <w:rPr>
          <w:b/>
        </w:rPr>
        <w:t>29</w:t>
      </w:r>
      <w:r>
        <w:t xml:space="preserve">, 4977–4993, </w:t>
      </w:r>
      <w:hyperlink r:id="rId35" w:history="1">
        <w:r w:rsidR="00EA4B43" w:rsidRPr="00926B03">
          <w:rPr>
            <w:rStyle w:val="Hyperlink"/>
          </w:rPr>
          <w:t>https://doi.org/10.1175/JCLI-D-15-0755.1</w:t>
        </w:r>
      </w:hyperlink>
      <w:r>
        <w:t>.</w:t>
      </w:r>
    </w:p>
    <w:p w14:paraId="312F3A75" w14:textId="7BF2C9DC" w:rsidR="00527D6B" w:rsidRDefault="00527D6B" w:rsidP="00EA4B43">
      <w:pPr>
        <w:ind w:left="360" w:hanging="360"/>
      </w:pPr>
      <w:r>
        <w:t xml:space="preserve">Crawford, A. D., E. A. P. Schreiber, N. Sommer, M. C. Serreze, J. C. Stroeve, and D. G. Barber, 2021: Sensitivity of Northern Hemisphere cyclone detection and tracking results to fine spatial and temporal resolution using ERA5. </w:t>
      </w:r>
      <w:r w:rsidRPr="007C5835">
        <w:rPr>
          <w:i/>
        </w:rPr>
        <w:t>Mon. Wea. Rev.</w:t>
      </w:r>
      <w:r>
        <w:t xml:space="preserve">, </w:t>
      </w:r>
      <w:r w:rsidRPr="007C5835">
        <w:rPr>
          <w:b/>
        </w:rPr>
        <w:t>149</w:t>
      </w:r>
      <w:r>
        <w:t xml:space="preserve">, 2581–2598, </w:t>
      </w:r>
      <w:hyperlink r:id="rId36" w:history="1">
        <w:r w:rsidR="00EA4B43" w:rsidRPr="00926B03">
          <w:rPr>
            <w:rStyle w:val="Hyperlink"/>
          </w:rPr>
          <w:t>https://doi.org/10.1175/MWR-D-20-0417.1</w:t>
        </w:r>
      </w:hyperlink>
      <w:r>
        <w:t>.</w:t>
      </w:r>
    </w:p>
    <w:p w14:paraId="3A343E87" w14:textId="7160A643" w:rsidR="00527D6B" w:rsidRDefault="00527D6B" w:rsidP="00EA4B43">
      <w:pPr>
        <w:ind w:left="360" w:hanging="360"/>
      </w:pPr>
      <w:r>
        <w:t xml:space="preserve">Davies, H. C., and M. </w:t>
      </w:r>
      <w:proofErr w:type="spellStart"/>
      <w:r>
        <w:t>Didone</w:t>
      </w:r>
      <w:proofErr w:type="spellEnd"/>
      <w:r>
        <w:t xml:space="preserve">, 2013: Diagnosis and dynamics of forecast error growth. </w:t>
      </w:r>
      <w:r w:rsidRPr="007C5835">
        <w:rPr>
          <w:i/>
        </w:rPr>
        <w:t>Mon. Wea. Rev.</w:t>
      </w:r>
      <w:r>
        <w:t xml:space="preserve">, </w:t>
      </w:r>
      <w:r w:rsidRPr="007C5835">
        <w:rPr>
          <w:b/>
        </w:rPr>
        <w:t>141</w:t>
      </w:r>
      <w:r>
        <w:t xml:space="preserve">, 2483–2501, </w:t>
      </w:r>
      <w:hyperlink r:id="rId37" w:history="1">
        <w:r w:rsidR="00EA4B43" w:rsidRPr="00926B03">
          <w:rPr>
            <w:rStyle w:val="Hyperlink"/>
          </w:rPr>
          <w:t>https://doi.org/10.1175/MWR-D-12-00242.1</w:t>
        </w:r>
      </w:hyperlink>
      <w:r>
        <w:t>.</w:t>
      </w:r>
    </w:p>
    <w:p w14:paraId="35AF501B" w14:textId="57D9C4C8" w:rsidR="00D35454" w:rsidRDefault="00D35454" w:rsidP="00EA4B43">
      <w:pPr>
        <w:ind w:left="360" w:hanging="360"/>
      </w:pPr>
      <w:r w:rsidRPr="00F34A55">
        <w:t xml:space="preserve">Davis, C. A., M. T. </w:t>
      </w:r>
      <w:proofErr w:type="spellStart"/>
      <w:r w:rsidRPr="00F34A55">
        <w:t>Stoelinga</w:t>
      </w:r>
      <w:proofErr w:type="spellEnd"/>
      <w:r w:rsidRPr="00F34A55">
        <w:t xml:space="preserve">, and Y.-H. </w:t>
      </w:r>
      <w:proofErr w:type="spellStart"/>
      <w:r w:rsidRPr="00F34A55">
        <w:t>Kuo</w:t>
      </w:r>
      <w:proofErr w:type="spellEnd"/>
      <w:r w:rsidRPr="00F34A55">
        <w:t xml:space="preserve">, 1993: The integrated effect of condensation in numerical simulations of extratropical cyclogenesis. </w:t>
      </w:r>
      <w:r w:rsidRPr="00F34A55">
        <w:rPr>
          <w:i/>
        </w:rPr>
        <w:t>Mon. Wea. Rev.</w:t>
      </w:r>
      <w:r w:rsidRPr="00F34A55">
        <w:t xml:space="preserve">, </w:t>
      </w:r>
      <w:r w:rsidRPr="00F34A55">
        <w:rPr>
          <w:b/>
        </w:rPr>
        <w:t>121</w:t>
      </w:r>
      <w:r w:rsidRPr="00F34A55">
        <w:t xml:space="preserve">, 2309–2330, </w:t>
      </w:r>
      <w:hyperlink r:id="rId38" w:history="1">
        <w:r w:rsidR="00EA4B43" w:rsidRPr="00926B03">
          <w:rPr>
            <w:rStyle w:val="Hyperlink"/>
          </w:rPr>
          <w:t>https://doi.org/10.1175/1520-0493(1993)121&lt;2309:TIEOCI&gt;2.0.CO;2</w:t>
        </w:r>
      </w:hyperlink>
      <w:r w:rsidRPr="00F34A55">
        <w:t>.</w:t>
      </w:r>
    </w:p>
    <w:p w14:paraId="32D961BB" w14:textId="75770085" w:rsidR="00527D6B" w:rsidRDefault="00527D6B" w:rsidP="00EA4B43">
      <w:pPr>
        <w:ind w:left="360" w:hanging="360"/>
      </w:pPr>
      <w:r>
        <w:t>Dee, D. P., and Coauthors, 2011: The ERA-Interi</w:t>
      </w:r>
      <w:r w:rsidR="002A75FB">
        <w:t xml:space="preserve">m reanalysis: Configuration and </w:t>
      </w:r>
      <w:r>
        <w:t xml:space="preserve">performance of the data assimilation system. </w:t>
      </w:r>
      <w:r w:rsidRPr="007C5835">
        <w:rPr>
          <w:i/>
        </w:rPr>
        <w:t>Quart. J. Roy. Meteor. Soc.</w:t>
      </w:r>
      <w:r>
        <w:t xml:space="preserve">, </w:t>
      </w:r>
      <w:r w:rsidRPr="007C5835">
        <w:rPr>
          <w:b/>
        </w:rPr>
        <w:t>137</w:t>
      </w:r>
      <w:r>
        <w:t xml:space="preserve">, 553–597, </w:t>
      </w:r>
      <w:hyperlink r:id="rId39" w:history="1">
        <w:r w:rsidR="00EA4B43" w:rsidRPr="00926B03">
          <w:rPr>
            <w:rStyle w:val="Hyperlink"/>
          </w:rPr>
          <w:t>https://doi.org/10.1002/qj.828</w:t>
        </w:r>
      </w:hyperlink>
      <w:r>
        <w:t>.</w:t>
      </w:r>
    </w:p>
    <w:p w14:paraId="7A449392" w14:textId="758292FA" w:rsidR="00527D6B" w:rsidRDefault="00527D6B" w:rsidP="00EA4B43">
      <w:pPr>
        <w:ind w:left="360" w:hanging="360"/>
      </w:pPr>
      <w:proofErr w:type="spellStart"/>
      <w:r>
        <w:t>Eguíluz</w:t>
      </w:r>
      <w:proofErr w:type="spellEnd"/>
      <w:r>
        <w:t>, V. M., J. Fernández-</w:t>
      </w:r>
      <w:proofErr w:type="spellStart"/>
      <w:r>
        <w:t>Gracia</w:t>
      </w:r>
      <w:proofErr w:type="spellEnd"/>
      <w:r>
        <w:t xml:space="preserve">, X. </w:t>
      </w:r>
      <w:proofErr w:type="spellStart"/>
      <w:r>
        <w:t>Irigoien</w:t>
      </w:r>
      <w:proofErr w:type="spellEnd"/>
      <w:r>
        <w:t xml:space="preserve">, and C. M. Duarte, 2016: A quantitative assessment of Arctic shipping in </w:t>
      </w:r>
      <w:r w:rsidR="002A75FB">
        <w:t xml:space="preserve">2010–2014. </w:t>
      </w:r>
      <w:r w:rsidR="002A75FB" w:rsidRPr="00B40DC3">
        <w:rPr>
          <w:i/>
        </w:rPr>
        <w:t>Sci. Rep.</w:t>
      </w:r>
      <w:r w:rsidR="002A75FB">
        <w:t xml:space="preserve">, </w:t>
      </w:r>
      <w:r w:rsidR="002A75FB" w:rsidRPr="00B40DC3">
        <w:rPr>
          <w:b/>
        </w:rPr>
        <w:t>6</w:t>
      </w:r>
      <w:r w:rsidR="002A75FB">
        <w:t xml:space="preserve">, 30682, </w:t>
      </w:r>
      <w:hyperlink r:id="rId40" w:history="1">
        <w:r w:rsidR="00EA4B43" w:rsidRPr="00926B03">
          <w:rPr>
            <w:rStyle w:val="Hyperlink"/>
          </w:rPr>
          <w:t>https://doi.org/10.1038/srep30682</w:t>
        </w:r>
      </w:hyperlink>
      <w:r>
        <w:t>.</w:t>
      </w:r>
    </w:p>
    <w:p w14:paraId="2053811A" w14:textId="05EF5D9F" w:rsidR="00A1633A" w:rsidRDefault="00A1633A" w:rsidP="00A1633A">
      <w:pPr>
        <w:ind w:left="360" w:hanging="360"/>
      </w:pPr>
      <w:r w:rsidRPr="00135C78">
        <w:t>European Centre for Medi</w:t>
      </w:r>
      <w:r>
        <w:t>um-Range Weather Forecasts</w:t>
      </w:r>
      <w:r w:rsidRPr="002B28B6">
        <w:t xml:space="preserve">, 2009: ERA-Interim Project. </w:t>
      </w:r>
      <w:r w:rsidR="002C7971" w:rsidRPr="002B28B6">
        <w:t xml:space="preserve">National Center for Atmospheric Research </w:t>
      </w:r>
      <w:r w:rsidRPr="002B28B6">
        <w:t xml:space="preserve">Computational and Information Systems </w:t>
      </w:r>
      <w:r w:rsidRPr="002B28B6">
        <w:lastRenderedPageBreak/>
        <w:t>Laboratory</w:t>
      </w:r>
      <w:r w:rsidR="002C7971" w:rsidRPr="002C7971">
        <w:t xml:space="preserve"> </w:t>
      </w:r>
      <w:r w:rsidR="002C7971" w:rsidRPr="002B28B6">
        <w:t>Research Data Archive</w:t>
      </w:r>
      <w:r w:rsidR="002C7971">
        <w:t>, a</w:t>
      </w:r>
      <w:r w:rsidR="002C7971" w:rsidRPr="002B28B6">
        <w:t>ccessed</w:t>
      </w:r>
      <w:r w:rsidR="002C7971">
        <w:t xml:space="preserve"> 01 January 2019, </w:t>
      </w:r>
      <w:hyperlink r:id="rId41" w:history="1">
        <w:r w:rsidRPr="00926B03">
          <w:rPr>
            <w:rStyle w:val="Hyperlink"/>
          </w:rPr>
          <w:t>https://doi.org/10.5065/D6CR5RD9</w:t>
        </w:r>
      </w:hyperlink>
      <w:r w:rsidRPr="002B28B6">
        <w:t>.</w:t>
      </w:r>
    </w:p>
    <w:p w14:paraId="66B78CC0" w14:textId="41BD5B8C" w:rsidR="00527D6B" w:rsidRDefault="00527D6B" w:rsidP="00EA4B43">
      <w:pPr>
        <w:ind w:left="360" w:hanging="360"/>
      </w:pPr>
      <w:r>
        <w:t xml:space="preserve">Fearon, M. G., J. D. Doyle, D. R. </w:t>
      </w:r>
      <w:proofErr w:type="spellStart"/>
      <w:r>
        <w:t>Ryglicki</w:t>
      </w:r>
      <w:proofErr w:type="spellEnd"/>
      <w:r>
        <w:t xml:space="preserve">, P. M. Finocchio, and M. Sprenger, 2021: The role of cyclones in moisture transport into the Arctic. </w:t>
      </w:r>
      <w:proofErr w:type="spellStart"/>
      <w:r w:rsidRPr="00B40DC3">
        <w:rPr>
          <w:i/>
        </w:rPr>
        <w:t>Geophys</w:t>
      </w:r>
      <w:proofErr w:type="spellEnd"/>
      <w:r w:rsidRPr="00B40DC3">
        <w:rPr>
          <w:i/>
        </w:rPr>
        <w:t>. Res. Lett.</w:t>
      </w:r>
      <w:r>
        <w:t xml:space="preserve">, </w:t>
      </w:r>
      <w:r w:rsidRPr="00B40DC3">
        <w:rPr>
          <w:b/>
        </w:rPr>
        <w:t>48</w:t>
      </w:r>
      <w:r>
        <w:t xml:space="preserve">, e2020GL090353, </w:t>
      </w:r>
      <w:hyperlink r:id="rId42" w:history="1">
        <w:r w:rsidR="00EA4B43" w:rsidRPr="00926B03">
          <w:rPr>
            <w:rStyle w:val="Hyperlink"/>
          </w:rPr>
          <w:t>https://doi.org/10.1029/2020GL090353</w:t>
        </w:r>
      </w:hyperlink>
      <w:r>
        <w:t>.</w:t>
      </w:r>
    </w:p>
    <w:p w14:paraId="5A4FB56C" w14:textId="3CECE1A6" w:rsidR="00DF12E0" w:rsidRDefault="00DF12E0" w:rsidP="00EA4B43">
      <w:pPr>
        <w:ind w:left="360" w:hanging="360"/>
      </w:pPr>
      <w:r w:rsidRPr="00A5030C">
        <w:t>Froude, L. S. R., 2010: TIGGE: Comparison of the prediction of</w:t>
      </w:r>
      <w:r>
        <w:t xml:space="preserve"> </w:t>
      </w:r>
      <w:r w:rsidRPr="00A5030C">
        <w:t>Northern Hemisphere extratr</w:t>
      </w:r>
      <w:r>
        <w:t>opical cyclones by different en</w:t>
      </w:r>
      <w:r w:rsidRPr="00A5030C">
        <w:t>semble prediction systems.</w:t>
      </w:r>
      <w:r>
        <w:t xml:space="preserve"> </w:t>
      </w:r>
      <w:r w:rsidRPr="00A5030C">
        <w:rPr>
          <w:i/>
        </w:rPr>
        <w:t>Wea. Forecasting</w:t>
      </w:r>
      <w:r w:rsidRPr="00A5030C">
        <w:t>,</w:t>
      </w:r>
      <w:r>
        <w:t xml:space="preserve"> </w:t>
      </w:r>
      <w:r w:rsidRPr="00A5030C">
        <w:rPr>
          <w:b/>
        </w:rPr>
        <w:t>25</w:t>
      </w:r>
      <w:r w:rsidRPr="00A5030C">
        <w:t>, 819–836,</w:t>
      </w:r>
      <w:r>
        <w:t xml:space="preserve"> </w:t>
      </w:r>
      <w:hyperlink r:id="rId43" w:history="1">
        <w:r w:rsidR="00EA4B43" w:rsidRPr="00926B03">
          <w:rPr>
            <w:rStyle w:val="Hyperlink"/>
          </w:rPr>
          <w:t>https://doi.org/10.1175/2010WAF2222326.1</w:t>
        </w:r>
      </w:hyperlink>
      <w:r w:rsidRPr="00A5030C">
        <w:t>.</w:t>
      </w:r>
    </w:p>
    <w:p w14:paraId="312271D8" w14:textId="00CF8BD3" w:rsidR="00D96778" w:rsidRDefault="00D96778" w:rsidP="00EA4B43">
      <w:pPr>
        <w:ind w:left="360" w:hanging="360"/>
      </w:pPr>
      <w:r>
        <w:t xml:space="preserve">Grams, C. M., L. Magnusson, and E. Madonna, 2018: An atmospheric dynamics perspective on the amplification and propagation of forecast error in numerical weather prediction models: A case study. </w:t>
      </w:r>
      <w:r w:rsidRPr="00D96778">
        <w:rPr>
          <w:i/>
        </w:rPr>
        <w:t>Quart. J. Roy. Meteor. Soc.</w:t>
      </w:r>
      <w:r>
        <w:t xml:space="preserve">, </w:t>
      </w:r>
      <w:r w:rsidRPr="00D96778">
        <w:rPr>
          <w:b/>
        </w:rPr>
        <w:t>144</w:t>
      </w:r>
      <w:r>
        <w:t xml:space="preserve">, 2577–2591, </w:t>
      </w:r>
      <w:hyperlink r:id="rId44" w:history="1">
        <w:r w:rsidR="00EA4B43" w:rsidRPr="00926B03">
          <w:rPr>
            <w:rStyle w:val="Hyperlink"/>
          </w:rPr>
          <w:t>https://doi.org/10.1002/qj.3353</w:t>
        </w:r>
      </w:hyperlink>
      <w:r>
        <w:t>.</w:t>
      </w:r>
    </w:p>
    <w:p w14:paraId="1C0EC30B" w14:textId="0BA4A0FB" w:rsidR="008C561F" w:rsidRDefault="00527D6B" w:rsidP="00EA4B43">
      <w:pPr>
        <w:ind w:left="360" w:hanging="360"/>
      </w:pPr>
      <w:r>
        <w:t xml:space="preserve">Hall, C. M., and J. Saarinen, 2010: Polar tourism: Definitions and dimensions. </w:t>
      </w:r>
      <w:r w:rsidRPr="00B40DC3">
        <w:rPr>
          <w:i/>
        </w:rPr>
        <w:t>Scand. J. Hospitality Tourism</w:t>
      </w:r>
      <w:r>
        <w:t xml:space="preserve">, </w:t>
      </w:r>
      <w:r w:rsidRPr="00B40DC3">
        <w:rPr>
          <w:b/>
        </w:rPr>
        <w:t>10</w:t>
      </w:r>
      <w:r>
        <w:t xml:space="preserve">, 448–467, </w:t>
      </w:r>
      <w:hyperlink r:id="rId45" w:history="1">
        <w:r w:rsidR="00EA4B43" w:rsidRPr="00926B03">
          <w:rPr>
            <w:rStyle w:val="Hyperlink"/>
          </w:rPr>
          <w:t>https://doi.org/10.1080/15022250.2010.521686</w:t>
        </w:r>
      </w:hyperlink>
      <w:r>
        <w:t>.</w:t>
      </w:r>
    </w:p>
    <w:p w14:paraId="7262E018" w14:textId="402FC4BE" w:rsidR="008C561F" w:rsidRDefault="008C561F" w:rsidP="00EA4B43">
      <w:pPr>
        <w:widowControl w:val="0"/>
        <w:autoSpaceDE w:val="0"/>
        <w:autoSpaceDN w:val="0"/>
        <w:adjustRightInd w:val="0"/>
        <w:ind w:left="360" w:hanging="360"/>
      </w:pPr>
      <w:r>
        <w:t xml:space="preserve">Hamill, T. M., and </w:t>
      </w:r>
      <w:r w:rsidR="00FD1A0E">
        <w:t xml:space="preserve">G. N. </w:t>
      </w:r>
      <w:proofErr w:type="spellStart"/>
      <w:r>
        <w:t>Kiladis</w:t>
      </w:r>
      <w:proofErr w:type="spellEnd"/>
      <w:r>
        <w:t xml:space="preserve">, 2014: Skill of the MJO and Northern Hemisphere blocking in GEFS medium-range reforecasts. </w:t>
      </w:r>
      <w:r w:rsidRPr="008C0775">
        <w:rPr>
          <w:i/>
        </w:rPr>
        <w:t>Mon. Wea. Rev.</w:t>
      </w:r>
      <w:r>
        <w:t xml:space="preserve">, </w:t>
      </w:r>
      <w:r w:rsidRPr="008C0775">
        <w:rPr>
          <w:b/>
        </w:rPr>
        <w:t>142</w:t>
      </w:r>
      <w:r>
        <w:t xml:space="preserve">, 868–885, </w:t>
      </w:r>
      <w:hyperlink r:id="rId46" w:history="1">
        <w:r w:rsidR="00EA4B43" w:rsidRPr="00926B03">
          <w:rPr>
            <w:rStyle w:val="Hyperlink"/>
          </w:rPr>
          <w:t>https://doi.org/10.1175/MWR-D-13-00199.1</w:t>
        </w:r>
      </w:hyperlink>
      <w:r>
        <w:t>.</w:t>
      </w:r>
    </w:p>
    <w:p w14:paraId="13B63627" w14:textId="35E37B92" w:rsidR="00527D6B" w:rsidRDefault="00527D6B" w:rsidP="00EA4B43">
      <w:pPr>
        <w:ind w:left="360" w:hanging="360"/>
      </w:pPr>
      <w:r>
        <w:t>Hamill, T. M., G. T. Bates, J. S. Whitaker, D. R. Murray, M. Fiorino, T. J. Galarneau Jr., Y. Zhu,</w:t>
      </w:r>
      <w:r w:rsidR="002A75FB">
        <w:t xml:space="preserve"> </w:t>
      </w:r>
      <w:r>
        <w:t xml:space="preserve">and W. </w:t>
      </w:r>
      <w:proofErr w:type="spellStart"/>
      <w:r>
        <w:t>Lapenta</w:t>
      </w:r>
      <w:proofErr w:type="spellEnd"/>
      <w:r>
        <w:t>, 2013: NOAA’s second-generation global medium-range ensemble</w:t>
      </w:r>
      <w:r w:rsidR="002A75FB">
        <w:t xml:space="preserve"> </w:t>
      </w:r>
      <w:r>
        <w:t xml:space="preserve">reforecast dataset. </w:t>
      </w:r>
      <w:r w:rsidRPr="00B40DC3">
        <w:rPr>
          <w:i/>
        </w:rPr>
        <w:t>Bull. Amer. Meteor. Soc.</w:t>
      </w:r>
      <w:r>
        <w:t xml:space="preserve">, </w:t>
      </w:r>
      <w:r w:rsidRPr="00B40DC3">
        <w:rPr>
          <w:b/>
        </w:rPr>
        <w:t>94</w:t>
      </w:r>
      <w:r>
        <w:t xml:space="preserve">, 1553–1565, </w:t>
      </w:r>
      <w:hyperlink r:id="rId47" w:history="1">
        <w:r w:rsidR="00EA4B43" w:rsidRPr="00926B03">
          <w:rPr>
            <w:rStyle w:val="Hyperlink"/>
          </w:rPr>
          <w:t>https://doi.org/10.1175/BAMS-D-12-00014.1</w:t>
        </w:r>
      </w:hyperlink>
      <w:r>
        <w:t>.</w:t>
      </w:r>
    </w:p>
    <w:p w14:paraId="7AD339DD" w14:textId="6687FD9E" w:rsidR="001C6802" w:rsidRPr="00A00C64" w:rsidRDefault="00B33417" w:rsidP="001C6802">
      <w:pPr>
        <w:ind w:left="360" w:hanging="360"/>
        <w:rPr>
          <w:color w:val="000000" w:themeColor="text1"/>
        </w:rPr>
      </w:pPr>
      <w:proofErr w:type="spellStart"/>
      <w:r w:rsidRPr="00A00C64">
        <w:rPr>
          <w:color w:val="000000" w:themeColor="text1"/>
        </w:rPr>
        <w:t>Hersbach</w:t>
      </w:r>
      <w:proofErr w:type="spellEnd"/>
      <w:r w:rsidRPr="00A00C64">
        <w:rPr>
          <w:color w:val="000000" w:themeColor="text1"/>
        </w:rPr>
        <w:t xml:space="preserve">, H., and Coauthors, 2020: The ERA5 global reanalysis. </w:t>
      </w:r>
      <w:r w:rsidRPr="00A00C64">
        <w:rPr>
          <w:i/>
          <w:iCs/>
          <w:color w:val="000000" w:themeColor="text1"/>
        </w:rPr>
        <w:t>Quart. J. Roy. Meteor. Soc.</w:t>
      </w:r>
      <w:r w:rsidRPr="00A00C64">
        <w:rPr>
          <w:color w:val="000000" w:themeColor="text1"/>
        </w:rPr>
        <w:t xml:space="preserve">, </w:t>
      </w:r>
      <w:r w:rsidRPr="00A00C64">
        <w:rPr>
          <w:b/>
          <w:bCs/>
          <w:color w:val="000000" w:themeColor="text1"/>
        </w:rPr>
        <w:t>146</w:t>
      </w:r>
      <w:r w:rsidRPr="00A00C64">
        <w:rPr>
          <w:color w:val="000000" w:themeColor="text1"/>
        </w:rPr>
        <w:t xml:space="preserve">, 1999–2049, </w:t>
      </w:r>
      <w:hyperlink r:id="rId48" w:history="1">
        <w:r w:rsidR="001C6802" w:rsidRPr="00747EF0">
          <w:rPr>
            <w:rStyle w:val="Hyperlink"/>
          </w:rPr>
          <w:t>https://doi.org/10.1002/qj.3803</w:t>
        </w:r>
      </w:hyperlink>
      <w:r w:rsidRPr="00A00C64">
        <w:rPr>
          <w:color w:val="000000" w:themeColor="text1"/>
        </w:rPr>
        <w:t>.</w:t>
      </w:r>
    </w:p>
    <w:p w14:paraId="51586632" w14:textId="71A84FB6" w:rsidR="00327658" w:rsidRPr="00266DF0" w:rsidRDefault="00327658" w:rsidP="00EA4B43">
      <w:pPr>
        <w:ind w:left="360" w:hanging="360"/>
        <w:rPr>
          <w:shd w:val="clear" w:color="auto" w:fill="FFFFFF"/>
        </w:rPr>
      </w:pPr>
      <w:r w:rsidRPr="00F34A55">
        <w:rPr>
          <w:shd w:val="clear" w:color="auto" w:fill="FFFFFF"/>
        </w:rPr>
        <w:t>Hoskins, B. J.,</w:t>
      </w:r>
      <w:r>
        <w:rPr>
          <w:shd w:val="clear" w:color="auto" w:fill="FFFFFF"/>
        </w:rPr>
        <w:t xml:space="preserve"> and P. J. Valdes, 1990: On the existence of storm-tracks. </w:t>
      </w:r>
      <w:r w:rsidRPr="0084699F">
        <w:rPr>
          <w:i/>
          <w:shd w:val="clear" w:color="auto" w:fill="FFFFFF"/>
        </w:rPr>
        <w:t>J. Atmos. Sci</w:t>
      </w:r>
      <w:r>
        <w:rPr>
          <w:shd w:val="clear" w:color="auto" w:fill="FFFFFF"/>
        </w:rPr>
        <w:t xml:space="preserve">, </w:t>
      </w:r>
      <w:r w:rsidRPr="00266DF0">
        <w:rPr>
          <w:b/>
          <w:shd w:val="clear" w:color="auto" w:fill="FFFFFF"/>
        </w:rPr>
        <w:t>47</w:t>
      </w:r>
      <w:r>
        <w:rPr>
          <w:shd w:val="clear" w:color="auto" w:fill="FFFFFF"/>
        </w:rPr>
        <w:t xml:space="preserve">, 1854–1864, </w:t>
      </w:r>
      <w:hyperlink r:id="rId49" w:history="1">
        <w:r w:rsidR="00EA4B43" w:rsidRPr="00926B03">
          <w:rPr>
            <w:rStyle w:val="Hyperlink"/>
            <w:shd w:val="clear" w:color="auto" w:fill="FFFFFF"/>
          </w:rPr>
          <w:t>https://doi.org/10.1175/1520-0469(1990)047&lt;1854:OTEOST&gt;2.0.CO;2</w:t>
        </w:r>
      </w:hyperlink>
      <w:r>
        <w:rPr>
          <w:shd w:val="clear" w:color="auto" w:fill="FFFFFF"/>
        </w:rPr>
        <w:t>.</w:t>
      </w:r>
    </w:p>
    <w:p w14:paraId="1770BDBA" w14:textId="3194865B" w:rsidR="00327658" w:rsidRDefault="00327658" w:rsidP="00EA4B43">
      <w:pPr>
        <w:ind w:left="360" w:hanging="360"/>
        <w:rPr>
          <w:shd w:val="clear" w:color="auto" w:fill="FFFFFF"/>
        </w:rPr>
      </w:pPr>
      <w:r w:rsidRPr="00F34A55">
        <w:rPr>
          <w:shd w:val="clear" w:color="auto" w:fill="FFFFFF"/>
        </w:rPr>
        <w:t xml:space="preserve">Hoskins, B. J., M. E. McIntyre, and A. W. Robertson, 1985: On the use and significance of isentropic potential vorticity maps. </w:t>
      </w:r>
      <w:r w:rsidRPr="00F34A55">
        <w:rPr>
          <w:i/>
          <w:shd w:val="clear" w:color="auto" w:fill="FFFFFF"/>
        </w:rPr>
        <w:t>Quart. J. Roy. Meteor. Soc.</w:t>
      </w:r>
      <w:r w:rsidRPr="00F34A55">
        <w:rPr>
          <w:shd w:val="clear" w:color="auto" w:fill="FFFFFF"/>
        </w:rPr>
        <w:t xml:space="preserve">, </w:t>
      </w:r>
      <w:r w:rsidRPr="00F34A55">
        <w:rPr>
          <w:b/>
          <w:shd w:val="clear" w:color="auto" w:fill="FFFFFF"/>
        </w:rPr>
        <w:t>111</w:t>
      </w:r>
      <w:r>
        <w:rPr>
          <w:shd w:val="clear" w:color="auto" w:fill="FFFFFF"/>
        </w:rPr>
        <w:t xml:space="preserve">, 877–946, </w:t>
      </w:r>
      <w:hyperlink r:id="rId50" w:history="1">
        <w:r w:rsidR="00EA4B43" w:rsidRPr="00926B03">
          <w:rPr>
            <w:rStyle w:val="Hyperlink"/>
            <w:shd w:val="clear" w:color="auto" w:fill="FFFFFF"/>
          </w:rPr>
          <w:t>https://doi.org/10.1002/qj.49711147002</w:t>
        </w:r>
      </w:hyperlink>
      <w:r w:rsidRPr="00F34A55">
        <w:rPr>
          <w:shd w:val="clear" w:color="auto" w:fill="FFFFFF"/>
        </w:rPr>
        <w:t>.</w:t>
      </w:r>
    </w:p>
    <w:p w14:paraId="29F3268E" w14:textId="083B4710" w:rsidR="008F4B9A" w:rsidRPr="00F34A55" w:rsidRDefault="008F4B9A" w:rsidP="008F4B9A">
      <w:pPr>
        <w:ind w:left="360" w:hanging="360"/>
        <w:rPr>
          <w:shd w:val="clear" w:color="auto" w:fill="FFFFFF"/>
        </w:rPr>
      </w:pPr>
      <w:r w:rsidRPr="008C643E">
        <w:rPr>
          <w:shd w:val="clear" w:color="auto" w:fill="FFFFFF"/>
        </w:rPr>
        <w:t>Inoue, J., 202</w:t>
      </w:r>
      <w:r w:rsidR="001F74CF">
        <w:rPr>
          <w:shd w:val="clear" w:color="auto" w:fill="FFFFFF"/>
        </w:rPr>
        <w:t>1</w:t>
      </w:r>
      <w:r w:rsidRPr="008C643E">
        <w:rPr>
          <w:shd w:val="clear" w:color="auto" w:fill="FFFFFF"/>
        </w:rPr>
        <w:t>: Review of forecast skills for weather and sea ice in supporting Arctic navigation.</w:t>
      </w:r>
      <w:r>
        <w:rPr>
          <w:shd w:val="clear" w:color="auto" w:fill="FFFFFF"/>
        </w:rPr>
        <w:t xml:space="preserve"> </w:t>
      </w:r>
      <w:r w:rsidRPr="001C6802">
        <w:rPr>
          <w:i/>
          <w:iCs/>
          <w:shd w:val="clear" w:color="auto" w:fill="FFFFFF"/>
        </w:rPr>
        <w:t>Polar Sci.</w:t>
      </w:r>
      <w:r w:rsidRPr="008C643E">
        <w:rPr>
          <w:shd w:val="clear" w:color="auto" w:fill="FFFFFF"/>
        </w:rPr>
        <w:t xml:space="preserve">, </w:t>
      </w:r>
      <w:r w:rsidRPr="001C6802">
        <w:rPr>
          <w:b/>
          <w:bCs/>
          <w:shd w:val="clear" w:color="auto" w:fill="FFFFFF"/>
        </w:rPr>
        <w:t>27</w:t>
      </w:r>
      <w:r w:rsidRPr="008C643E">
        <w:rPr>
          <w:shd w:val="clear" w:color="auto" w:fill="FFFFFF"/>
        </w:rPr>
        <w:t xml:space="preserve">, 100523. </w:t>
      </w:r>
      <w:hyperlink r:id="rId51" w:history="1">
        <w:r w:rsidRPr="00747EF0">
          <w:rPr>
            <w:rStyle w:val="Hyperlink"/>
            <w:shd w:val="clear" w:color="auto" w:fill="FFFFFF"/>
          </w:rPr>
          <w:t>https://doi.org/10.1016/j.polar.2020.100523</w:t>
        </w:r>
      </w:hyperlink>
      <w:r>
        <w:rPr>
          <w:shd w:val="clear" w:color="auto" w:fill="FFFFFF"/>
        </w:rPr>
        <w:t>.</w:t>
      </w:r>
    </w:p>
    <w:p w14:paraId="71F0168C" w14:textId="5353C64D" w:rsidR="002A6C3B" w:rsidRDefault="002A6C3B" w:rsidP="00EA4B43">
      <w:pPr>
        <w:ind w:left="360" w:hanging="360"/>
        <w:rPr>
          <w:shd w:val="clear" w:color="auto" w:fill="FFFFFF"/>
        </w:rPr>
      </w:pPr>
      <w:r w:rsidRPr="00F34A55">
        <w:rPr>
          <w:shd w:val="clear" w:color="auto" w:fill="FFFFFF"/>
        </w:rPr>
        <w:lastRenderedPageBreak/>
        <w:t xml:space="preserve">Johnson, A., and X. Wang, 2021: Observation impact study of an Arctic cyclone associated with a tropopause polar vortex (TPV)-induced Rossby wave initiation event. </w:t>
      </w:r>
      <w:r w:rsidRPr="00F34A55">
        <w:rPr>
          <w:i/>
          <w:shd w:val="clear" w:color="auto" w:fill="FFFFFF"/>
        </w:rPr>
        <w:t>Mon. Wea. Rev.</w:t>
      </w:r>
      <w:r w:rsidRPr="00F34A55">
        <w:rPr>
          <w:shd w:val="clear" w:color="auto" w:fill="FFFFFF"/>
        </w:rPr>
        <w:t xml:space="preserve">, </w:t>
      </w:r>
      <w:r w:rsidRPr="00F34A55">
        <w:rPr>
          <w:b/>
          <w:shd w:val="clear" w:color="auto" w:fill="FFFFFF"/>
        </w:rPr>
        <w:t>149</w:t>
      </w:r>
      <w:r w:rsidRPr="00F34A55">
        <w:rPr>
          <w:shd w:val="clear" w:color="auto" w:fill="FFFFFF"/>
        </w:rPr>
        <w:t xml:space="preserve">, 1577–1591, </w:t>
      </w:r>
      <w:hyperlink r:id="rId52" w:history="1">
        <w:r w:rsidR="00EA4B43" w:rsidRPr="00926B03">
          <w:rPr>
            <w:rStyle w:val="Hyperlink"/>
            <w:shd w:val="clear" w:color="auto" w:fill="FFFFFF"/>
          </w:rPr>
          <w:t>https://doi.org/10.1175/MWR-D-20-0285.1</w:t>
        </w:r>
      </w:hyperlink>
      <w:r w:rsidRPr="00F34A55">
        <w:rPr>
          <w:shd w:val="clear" w:color="auto" w:fill="FFFFFF"/>
        </w:rPr>
        <w:t>.</w:t>
      </w:r>
    </w:p>
    <w:p w14:paraId="6A25C42E" w14:textId="11066C9D" w:rsidR="00A7589B" w:rsidRPr="002A6C3B" w:rsidRDefault="00A7589B" w:rsidP="00EA4B43">
      <w:pPr>
        <w:ind w:left="360" w:hanging="360"/>
        <w:rPr>
          <w:shd w:val="clear" w:color="auto" w:fill="FFFFFF"/>
        </w:rPr>
      </w:pPr>
      <w:r w:rsidRPr="00A7589B">
        <w:rPr>
          <w:shd w:val="clear" w:color="auto" w:fill="FFFFFF"/>
        </w:rPr>
        <w:t xml:space="preserve">Jung, T., and M. </w:t>
      </w:r>
      <w:proofErr w:type="spellStart"/>
      <w:r w:rsidRPr="00A7589B">
        <w:rPr>
          <w:shd w:val="clear" w:color="auto" w:fill="FFFFFF"/>
        </w:rPr>
        <w:t>Leutbecher</w:t>
      </w:r>
      <w:proofErr w:type="spellEnd"/>
      <w:r w:rsidRPr="00A7589B">
        <w:rPr>
          <w:shd w:val="clear" w:color="auto" w:fill="FFFFFF"/>
        </w:rPr>
        <w:t xml:space="preserve">, 2007: Performance of the ECMWF forecasting system in the Arctic during winter. </w:t>
      </w:r>
      <w:r w:rsidRPr="00A7589B">
        <w:rPr>
          <w:i/>
          <w:shd w:val="clear" w:color="auto" w:fill="FFFFFF"/>
        </w:rPr>
        <w:t>Quart. J. Roy. Meteor. Soc.</w:t>
      </w:r>
      <w:r w:rsidRPr="00A7589B">
        <w:rPr>
          <w:shd w:val="clear" w:color="auto" w:fill="FFFFFF"/>
        </w:rPr>
        <w:t xml:space="preserve">, </w:t>
      </w:r>
      <w:r w:rsidRPr="00A7589B">
        <w:rPr>
          <w:b/>
          <w:shd w:val="clear" w:color="auto" w:fill="FFFFFF"/>
        </w:rPr>
        <w:t>133</w:t>
      </w:r>
      <w:r w:rsidRPr="00A7589B">
        <w:rPr>
          <w:shd w:val="clear" w:color="auto" w:fill="FFFFFF"/>
        </w:rPr>
        <w:t xml:space="preserve">, 1327–1340, </w:t>
      </w:r>
      <w:hyperlink r:id="rId53" w:history="1">
        <w:r w:rsidR="00EA4B43" w:rsidRPr="00926B03">
          <w:rPr>
            <w:rStyle w:val="Hyperlink"/>
            <w:shd w:val="clear" w:color="auto" w:fill="FFFFFF"/>
          </w:rPr>
          <w:t>https://doi.org/10.1002/qj.99</w:t>
        </w:r>
      </w:hyperlink>
      <w:r w:rsidRPr="00A7589B">
        <w:rPr>
          <w:shd w:val="clear" w:color="auto" w:fill="FFFFFF"/>
        </w:rPr>
        <w:t>.</w:t>
      </w:r>
    </w:p>
    <w:p w14:paraId="73611D51" w14:textId="3153B67B" w:rsidR="00527D6B" w:rsidRDefault="00527D6B" w:rsidP="00EA4B43">
      <w:pPr>
        <w:ind w:left="360" w:hanging="360"/>
      </w:pPr>
      <w:r>
        <w:t xml:space="preserve">Jung, T., and M. </w:t>
      </w:r>
      <w:proofErr w:type="spellStart"/>
      <w:r>
        <w:t>Matsueda</w:t>
      </w:r>
      <w:proofErr w:type="spellEnd"/>
      <w:r>
        <w:t xml:space="preserve">, 2016: Verification of global numerical weather forecasting systems in polar regions using TIGGE data. </w:t>
      </w:r>
      <w:r w:rsidRPr="00B40DC3">
        <w:rPr>
          <w:i/>
        </w:rPr>
        <w:t>Quart. J. Roy. Meteor. Soc.</w:t>
      </w:r>
      <w:r>
        <w:t xml:space="preserve">, </w:t>
      </w:r>
      <w:r w:rsidRPr="00B40DC3">
        <w:rPr>
          <w:b/>
        </w:rPr>
        <w:t>142</w:t>
      </w:r>
      <w:r>
        <w:t xml:space="preserve">, 574–582, </w:t>
      </w:r>
      <w:hyperlink r:id="rId54" w:history="1">
        <w:r w:rsidR="00EA4B43" w:rsidRPr="00926B03">
          <w:rPr>
            <w:rStyle w:val="Hyperlink"/>
          </w:rPr>
          <w:t>https://doi.org/10.1002/qj.2437</w:t>
        </w:r>
      </w:hyperlink>
      <w:r>
        <w:t>.</w:t>
      </w:r>
    </w:p>
    <w:p w14:paraId="050C872D" w14:textId="7DF060FD" w:rsidR="008479C6" w:rsidRDefault="008479C6" w:rsidP="008479C6">
      <w:pPr>
        <w:ind w:left="360" w:hanging="360"/>
      </w:pPr>
      <w:proofErr w:type="spellStart"/>
      <w:r>
        <w:t>Kalnay</w:t>
      </w:r>
      <w:proofErr w:type="spellEnd"/>
      <w:r>
        <w:t xml:space="preserve">, E., R. Petersen, M. </w:t>
      </w:r>
      <w:proofErr w:type="spellStart"/>
      <w:r>
        <w:t>Kanamitsu</w:t>
      </w:r>
      <w:proofErr w:type="spellEnd"/>
      <w:r>
        <w:t xml:space="preserve">, and W. E. Baker, 1991: United States operational numerical weather prediction. </w:t>
      </w:r>
      <w:r w:rsidRPr="008479C6">
        <w:rPr>
          <w:i/>
        </w:rPr>
        <w:t xml:space="preserve">Rev. </w:t>
      </w:r>
      <w:proofErr w:type="spellStart"/>
      <w:r w:rsidRPr="008479C6">
        <w:rPr>
          <w:i/>
        </w:rPr>
        <w:t>Geophys</w:t>
      </w:r>
      <w:proofErr w:type="spellEnd"/>
      <w:r w:rsidRPr="008479C6">
        <w:rPr>
          <w:i/>
        </w:rPr>
        <w:t>.</w:t>
      </w:r>
      <w:r>
        <w:t xml:space="preserve">, </w:t>
      </w:r>
      <w:r w:rsidRPr="008479C6">
        <w:rPr>
          <w:b/>
        </w:rPr>
        <w:t>29</w:t>
      </w:r>
      <w:r>
        <w:t xml:space="preserve">, 104–114, </w:t>
      </w:r>
      <w:hyperlink r:id="rId55" w:history="1">
        <w:r w:rsidRPr="00926B03">
          <w:rPr>
            <w:rStyle w:val="Hyperlink"/>
          </w:rPr>
          <w:t>https://doi.org/10.1002/rog.1991.29.s1.104</w:t>
        </w:r>
      </w:hyperlink>
      <w:r>
        <w:t>.</w:t>
      </w:r>
    </w:p>
    <w:p w14:paraId="05F5F8EC" w14:textId="41A70E4E" w:rsidR="00527D6B" w:rsidRDefault="00527D6B" w:rsidP="00EA4B43">
      <w:pPr>
        <w:ind w:left="360" w:hanging="360"/>
      </w:pPr>
      <w:proofErr w:type="spellStart"/>
      <w:r>
        <w:t>Korfe</w:t>
      </w:r>
      <w:proofErr w:type="spellEnd"/>
      <w:r>
        <w:t xml:space="preserve">, N. G., and B. A. Colle, 2018: Evaluation of cool-season extratropical cyclones in a </w:t>
      </w:r>
      <w:proofErr w:type="spellStart"/>
      <w:r>
        <w:t>multimodel</w:t>
      </w:r>
      <w:proofErr w:type="spellEnd"/>
      <w:r>
        <w:t xml:space="preserve"> ensemble for eastern North America and the </w:t>
      </w:r>
      <w:r w:rsidR="00AF6F02">
        <w:t>w</w:t>
      </w:r>
      <w:r>
        <w:t xml:space="preserve">estern Atlantic Ocean. </w:t>
      </w:r>
      <w:r w:rsidRPr="00B40DC3">
        <w:rPr>
          <w:i/>
        </w:rPr>
        <w:t>Wea. Forecasting</w:t>
      </w:r>
      <w:r>
        <w:t xml:space="preserve">, </w:t>
      </w:r>
      <w:r w:rsidRPr="00B40DC3">
        <w:rPr>
          <w:b/>
        </w:rPr>
        <w:t>33</w:t>
      </w:r>
      <w:r>
        <w:t xml:space="preserve">, 109–127, </w:t>
      </w:r>
      <w:hyperlink r:id="rId56" w:history="1">
        <w:r w:rsidR="00EA4B43" w:rsidRPr="00926B03">
          <w:rPr>
            <w:rStyle w:val="Hyperlink"/>
          </w:rPr>
          <w:t>https://doi.org/10.1175/WAF-D-17-0036.1</w:t>
        </w:r>
      </w:hyperlink>
      <w:r>
        <w:t>.</w:t>
      </w:r>
    </w:p>
    <w:p w14:paraId="3C98639F" w14:textId="1F79215F" w:rsidR="00A05E83" w:rsidRDefault="00A05E83" w:rsidP="00C464DC">
      <w:pPr>
        <w:ind w:left="360" w:hanging="360"/>
      </w:pPr>
      <w:proofErr w:type="spellStart"/>
      <w:r w:rsidRPr="00F34A55">
        <w:t>Kuo</w:t>
      </w:r>
      <w:proofErr w:type="spellEnd"/>
      <w:r w:rsidRPr="00F34A55">
        <w:t xml:space="preserve">, Y.-H., and R. J. Reed, 1988: Numerical simulation of an explosively deepening cyclone in the eastern Pacific. </w:t>
      </w:r>
      <w:r w:rsidRPr="00F34A55">
        <w:rPr>
          <w:i/>
        </w:rPr>
        <w:t>Mon. Wea. Rev.</w:t>
      </w:r>
      <w:r w:rsidRPr="00F34A55">
        <w:t xml:space="preserve">, </w:t>
      </w:r>
      <w:r w:rsidRPr="00F34A55">
        <w:rPr>
          <w:b/>
        </w:rPr>
        <w:t>116</w:t>
      </w:r>
      <w:r w:rsidRPr="00F34A55">
        <w:t xml:space="preserve">, 2081–2105, </w:t>
      </w:r>
      <w:hyperlink r:id="rId57" w:history="1">
        <w:r w:rsidR="00C464DC" w:rsidRPr="00926B03">
          <w:rPr>
            <w:rStyle w:val="Hyperlink"/>
          </w:rPr>
          <w:t>https://doi.org/10.1175/1520-0493(1988)116&lt;2081:NSOAED&gt;2.0.CO;2</w:t>
        </w:r>
      </w:hyperlink>
      <w:r w:rsidRPr="00F34A55">
        <w:t>.</w:t>
      </w:r>
    </w:p>
    <w:p w14:paraId="02F8E014" w14:textId="47E8484D" w:rsidR="008479C6" w:rsidRDefault="008479C6" w:rsidP="008479C6">
      <w:pPr>
        <w:ind w:left="360" w:hanging="360"/>
      </w:pPr>
      <w:r w:rsidRPr="008479C6">
        <w:t xml:space="preserve">Langland, R. H., and R. N. </w:t>
      </w:r>
      <w:proofErr w:type="spellStart"/>
      <w:r w:rsidRPr="008479C6">
        <w:t>M</w:t>
      </w:r>
      <w:r w:rsidR="007E7069">
        <w:t>aue</w:t>
      </w:r>
      <w:proofErr w:type="spellEnd"/>
      <w:r w:rsidR="007E7069">
        <w:t>, 2012: Recent Northern Hemi</w:t>
      </w:r>
      <w:r w:rsidRPr="008479C6">
        <w:t>sphere mid-latitude medium-range deterministic forecast skill.</w:t>
      </w:r>
      <w:r>
        <w:t xml:space="preserve"> </w:t>
      </w:r>
      <w:r w:rsidRPr="008479C6">
        <w:rPr>
          <w:i/>
        </w:rPr>
        <w:t>Tellus</w:t>
      </w:r>
      <w:r w:rsidRPr="008479C6">
        <w:t>,</w:t>
      </w:r>
      <w:r>
        <w:t xml:space="preserve"> </w:t>
      </w:r>
      <w:r w:rsidRPr="008479C6">
        <w:rPr>
          <w:b/>
        </w:rPr>
        <w:t>64A</w:t>
      </w:r>
      <w:r>
        <w:t xml:space="preserve">,1–10, </w:t>
      </w:r>
      <w:hyperlink r:id="rId58" w:history="1">
        <w:r w:rsidRPr="00926B03">
          <w:rPr>
            <w:rStyle w:val="Hyperlink"/>
          </w:rPr>
          <w:t>https://www.tandfonline.com/doi/full/10.3402/tellusa.v64i0.17531</w:t>
        </w:r>
      </w:hyperlink>
      <w:r>
        <w:t>.</w:t>
      </w:r>
    </w:p>
    <w:p w14:paraId="06910038" w14:textId="5472A759" w:rsidR="00A00C64" w:rsidRPr="00EF3978" w:rsidRDefault="00EF3978" w:rsidP="00A00C64">
      <w:pPr>
        <w:ind w:left="360" w:hanging="360"/>
      </w:pPr>
      <w:r w:rsidRPr="00A00C64">
        <w:t xml:space="preserve">Lawrence, H., N. Bormann, I. </w:t>
      </w:r>
      <w:proofErr w:type="spellStart"/>
      <w:r w:rsidRPr="00A00C64">
        <w:t>Sandu</w:t>
      </w:r>
      <w:proofErr w:type="spellEnd"/>
      <w:r w:rsidRPr="00A00C64">
        <w:t xml:space="preserve">, J. Day, J. </w:t>
      </w:r>
      <w:proofErr w:type="spellStart"/>
      <w:r w:rsidRPr="00A00C64">
        <w:t>Farnan</w:t>
      </w:r>
      <w:proofErr w:type="spellEnd"/>
      <w:r w:rsidRPr="00A00C64">
        <w:t>, P. Bauer, 2019: Use and impact of Arctic</w:t>
      </w:r>
      <w:r>
        <w:t xml:space="preserve"> </w:t>
      </w:r>
      <w:r w:rsidRPr="00A00C64">
        <w:t xml:space="preserve">observations in the ECMWF numerical weather prediction system. </w:t>
      </w:r>
      <w:r w:rsidRPr="00EF3978">
        <w:rPr>
          <w:i/>
          <w:iCs/>
        </w:rPr>
        <w:t>Quart. J. Roy. Meteor.</w:t>
      </w:r>
      <w:r w:rsidRPr="00A00C64">
        <w:rPr>
          <w:i/>
          <w:iCs/>
        </w:rPr>
        <w:t xml:space="preserve"> </w:t>
      </w:r>
      <w:r w:rsidRPr="00EF3978">
        <w:rPr>
          <w:i/>
          <w:iCs/>
        </w:rPr>
        <w:t>Soc.</w:t>
      </w:r>
      <w:r w:rsidRPr="00A00C64">
        <w:t xml:space="preserve">, </w:t>
      </w:r>
      <w:r w:rsidRPr="00A00C64">
        <w:rPr>
          <w:b/>
          <w:bCs/>
        </w:rPr>
        <w:t>145</w:t>
      </w:r>
      <w:r w:rsidRPr="00A00C64">
        <w:t xml:space="preserve">, 3432–3454, </w:t>
      </w:r>
      <w:hyperlink r:id="rId59" w:history="1">
        <w:r w:rsidR="00A00C64" w:rsidRPr="00747EF0">
          <w:rPr>
            <w:rStyle w:val="Hyperlink"/>
          </w:rPr>
          <w:t>https://doi.org/10.1002/qj.3628</w:t>
        </w:r>
      </w:hyperlink>
      <w:r w:rsidRPr="00A00C64">
        <w:t>.</w:t>
      </w:r>
    </w:p>
    <w:p w14:paraId="4FD25B36" w14:textId="73A2DBE5" w:rsidR="00527D6B" w:rsidRDefault="00527D6B" w:rsidP="007C5835">
      <w:pPr>
        <w:ind w:left="360" w:hanging="360"/>
      </w:pPr>
      <w:r>
        <w:t xml:space="preserve">Maher, P. T., 2017: Tourism futures in the Arctic. </w:t>
      </w:r>
      <w:r w:rsidRPr="00B40DC3">
        <w:rPr>
          <w:i/>
        </w:rPr>
        <w:t>The interconnected Arctic—</w:t>
      </w:r>
      <w:proofErr w:type="spellStart"/>
      <w:r w:rsidRPr="00B40DC3">
        <w:rPr>
          <w:i/>
        </w:rPr>
        <w:t>UArctic</w:t>
      </w:r>
      <w:proofErr w:type="spellEnd"/>
      <w:r w:rsidRPr="00B40DC3">
        <w:rPr>
          <w:i/>
        </w:rPr>
        <w:t xml:space="preserve"> Congress 2016</w:t>
      </w:r>
      <w:r>
        <w:t xml:space="preserve">, K. </w:t>
      </w:r>
      <w:proofErr w:type="spellStart"/>
      <w:r>
        <w:t>Latola</w:t>
      </w:r>
      <w:proofErr w:type="spellEnd"/>
      <w:r>
        <w:t xml:space="preserve"> and H. </w:t>
      </w:r>
      <w:proofErr w:type="spellStart"/>
      <w:r>
        <w:t>Savela</w:t>
      </w:r>
      <w:proofErr w:type="spellEnd"/>
      <w:r>
        <w:t>, Eds., Springer, Cham, 213–220.</w:t>
      </w:r>
    </w:p>
    <w:p w14:paraId="38D5431F" w14:textId="73A17E29" w:rsidR="00527D6B" w:rsidRDefault="00527D6B" w:rsidP="00C464DC">
      <w:pPr>
        <w:ind w:left="360" w:hanging="360"/>
      </w:pPr>
      <w:r>
        <w:t xml:space="preserve">Martínez-Alvarado, O., E. Madonna, S. Gray, and H. </w:t>
      </w:r>
      <w:proofErr w:type="spellStart"/>
      <w:r>
        <w:t>Joos</w:t>
      </w:r>
      <w:proofErr w:type="spellEnd"/>
      <w:r>
        <w:t xml:space="preserve">, 2016: A route to systematic error in forecasts of Rossby waves. </w:t>
      </w:r>
      <w:r w:rsidRPr="00B40DC3">
        <w:rPr>
          <w:i/>
        </w:rPr>
        <w:t>Quart. J. Roy. Meteor. Soc.</w:t>
      </w:r>
      <w:r>
        <w:t xml:space="preserve">, </w:t>
      </w:r>
      <w:r w:rsidRPr="00B40DC3">
        <w:rPr>
          <w:b/>
        </w:rPr>
        <w:t>142</w:t>
      </w:r>
      <w:r>
        <w:t xml:space="preserve">, 196–210, </w:t>
      </w:r>
      <w:hyperlink r:id="rId60" w:history="1">
        <w:r w:rsidR="00C464DC" w:rsidRPr="00926B03">
          <w:rPr>
            <w:rStyle w:val="Hyperlink"/>
          </w:rPr>
          <w:t>https://doi.org/10.1002/qj.2645</w:t>
        </w:r>
      </w:hyperlink>
      <w:r>
        <w:t>.</w:t>
      </w:r>
    </w:p>
    <w:p w14:paraId="3F83B473" w14:textId="74330558" w:rsidR="00527D6B" w:rsidRDefault="00527D6B" w:rsidP="00C464DC">
      <w:pPr>
        <w:ind w:left="360" w:hanging="360"/>
      </w:pPr>
      <w:r>
        <w:lastRenderedPageBreak/>
        <w:t xml:space="preserve">Melia, N., K. Haines, and E. Hawkins, 2016: Sea ice decline and 21st century trans-Arctic shipping routes. </w:t>
      </w:r>
      <w:proofErr w:type="spellStart"/>
      <w:r w:rsidRPr="00B40DC3">
        <w:rPr>
          <w:i/>
        </w:rPr>
        <w:t>Geophys</w:t>
      </w:r>
      <w:proofErr w:type="spellEnd"/>
      <w:r w:rsidRPr="00B40DC3">
        <w:rPr>
          <w:i/>
        </w:rPr>
        <w:t>. Res. Lett.</w:t>
      </w:r>
      <w:r>
        <w:t xml:space="preserve">, </w:t>
      </w:r>
      <w:r w:rsidRPr="00B40DC3">
        <w:rPr>
          <w:b/>
        </w:rPr>
        <w:t>43</w:t>
      </w:r>
      <w:r>
        <w:t xml:space="preserve">, 9720–9728, </w:t>
      </w:r>
      <w:hyperlink r:id="rId61" w:history="1">
        <w:r w:rsidR="00C464DC" w:rsidRPr="00926B03">
          <w:rPr>
            <w:rStyle w:val="Hyperlink"/>
          </w:rPr>
          <w:t>https://doi.org/10.1002/2016GL069315</w:t>
        </w:r>
      </w:hyperlink>
      <w:r>
        <w:t>.</w:t>
      </w:r>
    </w:p>
    <w:p w14:paraId="3F981876" w14:textId="27BE5109" w:rsidR="0076348B" w:rsidRDefault="0076348B" w:rsidP="00C464DC">
      <w:pPr>
        <w:ind w:left="360" w:hanging="360"/>
      </w:pPr>
      <w:r>
        <w:t xml:space="preserve">Melia, N., K. Haines, E. Hawkins, and J. J. Day, 2017: Towards seasonal Arctic shipping route predictions. </w:t>
      </w:r>
      <w:r w:rsidRPr="00B10525">
        <w:rPr>
          <w:i/>
          <w:iCs/>
        </w:rPr>
        <w:t>Environ. Res. Lett.</w:t>
      </w:r>
      <w:r>
        <w:t xml:space="preserve">, </w:t>
      </w:r>
      <w:r w:rsidRPr="00B10525">
        <w:rPr>
          <w:b/>
        </w:rPr>
        <w:t>12</w:t>
      </w:r>
      <w:r>
        <w:t xml:space="preserve">, 084005, </w:t>
      </w:r>
      <w:hyperlink r:id="rId62" w:history="1">
        <w:r w:rsidR="00C464DC" w:rsidRPr="00926B03">
          <w:rPr>
            <w:rStyle w:val="Hyperlink"/>
          </w:rPr>
          <w:t>https://doi.org/10.1088/1748-9326/AA7A60</w:t>
        </w:r>
      </w:hyperlink>
      <w:r>
        <w:t>.</w:t>
      </w:r>
    </w:p>
    <w:p w14:paraId="7F4F02AE" w14:textId="09571999" w:rsidR="00F81758" w:rsidRDefault="00F81758" w:rsidP="00C464DC">
      <w:pPr>
        <w:ind w:left="360" w:hanging="360"/>
        <w:rPr>
          <w:color w:val="000000" w:themeColor="text1"/>
        </w:rPr>
      </w:pPr>
      <w:proofErr w:type="spellStart"/>
      <w:r w:rsidRPr="00F81758">
        <w:rPr>
          <w:color w:val="000000" w:themeColor="text1"/>
        </w:rPr>
        <w:t>Messori</w:t>
      </w:r>
      <w:proofErr w:type="spellEnd"/>
      <w:r w:rsidRPr="00F81758">
        <w:rPr>
          <w:color w:val="000000" w:themeColor="text1"/>
        </w:rPr>
        <w:t>, G., C. Woods, and R. Caballero, 2018: On the drivers of wintertime temperature</w:t>
      </w:r>
      <w:r>
        <w:rPr>
          <w:color w:val="000000" w:themeColor="text1"/>
        </w:rPr>
        <w:t xml:space="preserve"> </w:t>
      </w:r>
      <w:r w:rsidRPr="00F81758">
        <w:rPr>
          <w:color w:val="000000" w:themeColor="text1"/>
        </w:rPr>
        <w:t xml:space="preserve">extremes in the high Arctic. </w:t>
      </w:r>
      <w:r w:rsidRPr="00F81758">
        <w:rPr>
          <w:i/>
          <w:color w:val="000000" w:themeColor="text1"/>
        </w:rPr>
        <w:t>J. Climate</w:t>
      </w:r>
      <w:r w:rsidRPr="00F81758">
        <w:rPr>
          <w:color w:val="000000" w:themeColor="text1"/>
        </w:rPr>
        <w:t xml:space="preserve">, </w:t>
      </w:r>
      <w:r w:rsidRPr="00F81758">
        <w:rPr>
          <w:b/>
          <w:color w:val="000000" w:themeColor="text1"/>
        </w:rPr>
        <w:t>31</w:t>
      </w:r>
      <w:r w:rsidRPr="00F81758">
        <w:rPr>
          <w:color w:val="000000" w:themeColor="text1"/>
        </w:rPr>
        <w:t xml:space="preserve">, 1597–1618, </w:t>
      </w:r>
      <w:hyperlink r:id="rId63" w:history="1">
        <w:r w:rsidR="00C464DC" w:rsidRPr="00926B03">
          <w:rPr>
            <w:rStyle w:val="Hyperlink"/>
          </w:rPr>
          <w:t>https://doi.org/10.1175/JCLI-D-17-0386.1</w:t>
        </w:r>
      </w:hyperlink>
      <w:r w:rsidRPr="00F81758">
        <w:rPr>
          <w:color w:val="000000" w:themeColor="text1"/>
        </w:rPr>
        <w:t>.</w:t>
      </w:r>
    </w:p>
    <w:p w14:paraId="3337D249" w14:textId="11FCD54B" w:rsidR="00BE7DCD" w:rsidRPr="00BE7DCD" w:rsidRDefault="00BE7DCD" w:rsidP="00746059">
      <w:pPr>
        <w:ind w:left="360" w:hanging="360"/>
        <w:rPr>
          <w:color w:val="000000" w:themeColor="text1"/>
        </w:rPr>
      </w:pPr>
      <w:r w:rsidRPr="00121873">
        <w:rPr>
          <w:color w:val="000000" w:themeColor="text1"/>
        </w:rPr>
        <w:t>Moore, B. J., 2017: Rossby wave breaking and widespread extreme precipitation events in the central and eastern U.S. Ph.</w:t>
      </w:r>
      <w:r>
        <w:rPr>
          <w:color w:val="000000" w:themeColor="text1"/>
        </w:rPr>
        <w:t xml:space="preserve">D. dissertation, University at </w:t>
      </w:r>
      <w:r w:rsidRPr="00121873">
        <w:rPr>
          <w:color w:val="000000" w:themeColor="text1"/>
        </w:rPr>
        <w:t>Albany, State University of New York, Albany, NY, 182 pp</w:t>
      </w:r>
      <w:r w:rsidR="00BD69FF">
        <w:rPr>
          <w:color w:val="000000" w:themeColor="text1"/>
        </w:rPr>
        <w:t xml:space="preserve">, </w:t>
      </w:r>
      <w:hyperlink r:id="rId64" w:history="1">
        <w:r w:rsidR="00BD69FF" w:rsidRPr="00FF6618">
          <w:rPr>
            <w:rStyle w:val="Hyperlink"/>
          </w:rPr>
          <w:t>https://www.proquest.com/openview/4ee7040dae0befb4c6d0833e012af300</w:t>
        </w:r>
      </w:hyperlink>
      <w:r w:rsidR="00BD69FF">
        <w:rPr>
          <w:color w:val="000000" w:themeColor="text1"/>
        </w:rPr>
        <w:t>.</w:t>
      </w:r>
    </w:p>
    <w:p w14:paraId="469D58A9" w14:textId="73E14B09" w:rsidR="00527D6B" w:rsidRDefault="00527D6B" w:rsidP="00C464DC">
      <w:pPr>
        <w:ind w:left="360" w:hanging="360"/>
      </w:pPr>
      <w:r>
        <w:t xml:space="preserve">Peng, L., X. Zhang, J.-H. Kim, K.-H. Cho, B.-M. Kim, Z. Wang, and H. Tang, 2021: Role of intense Arctic storm in accelerating summer sea ice melt: </w:t>
      </w:r>
      <w:r w:rsidR="002A75FB">
        <w:t xml:space="preserve">An in situ observational study. </w:t>
      </w:r>
      <w:proofErr w:type="spellStart"/>
      <w:r w:rsidRPr="000218AC">
        <w:rPr>
          <w:i/>
        </w:rPr>
        <w:t>Geophys</w:t>
      </w:r>
      <w:proofErr w:type="spellEnd"/>
      <w:r w:rsidRPr="000218AC">
        <w:rPr>
          <w:i/>
        </w:rPr>
        <w:t>. Res. Lett.</w:t>
      </w:r>
      <w:r>
        <w:t xml:space="preserve">, </w:t>
      </w:r>
      <w:r w:rsidRPr="000218AC">
        <w:rPr>
          <w:b/>
        </w:rPr>
        <w:t>48</w:t>
      </w:r>
      <w:r>
        <w:t xml:space="preserve">, e2021GL092714, </w:t>
      </w:r>
      <w:hyperlink r:id="rId65" w:history="1">
        <w:r w:rsidR="00C464DC" w:rsidRPr="00926B03">
          <w:rPr>
            <w:rStyle w:val="Hyperlink"/>
          </w:rPr>
          <w:t>https://doi.org/10.1029/2021GL092714</w:t>
        </w:r>
      </w:hyperlink>
      <w:r>
        <w:t>.</w:t>
      </w:r>
    </w:p>
    <w:p w14:paraId="2C36FFE9" w14:textId="2D049061" w:rsidR="00EA5AFA" w:rsidRPr="00F34A55" w:rsidRDefault="00EA5AFA" w:rsidP="00C464DC">
      <w:pPr>
        <w:ind w:left="360" w:hanging="360"/>
        <w:rPr>
          <w:color w:val="000000" w:themeColor="text1"/>
        </w:rPr>
      </w:pPr>
      <w:r w:rsidRPr="00F34A55">
        <w:rPr>
          <w:color w:val="000000" w:themeColor="text1"/>
        </w:rPr>
        <w:t xml:space="preserve">Reed, R. J., A. J. Simmons, M. D. Albright, and P. </w:t>
      </w:r>
      <w:proofErr w:type="spellStart"/>
      <w:r w:rsidRPr="00F34A55">
        <w:rPr>
          <w:color w:val="000000" w:themeColor="text1"/>
        </w:rPr>
        <w:t>Undén</w:t>
      </w:r>
      <w:proofErr w:type="spellEnd"/>
      <w:r w:rsidRPr="00F34A55">
        <w:rPr>
          <w:color w:val="000000" w:themeColor="text1"/>
        </w:rPr>
        <w:t xml:space="preserve">, 1988: The role of latent heat release in explosive cyclogenesis: Three examples based on ECMWF operational forecasts. </w:t>
      </w:r>
      <w:r w:rsidRPr="00F34A55">
        <w:rPr>
          <w:i/>
          <w:color w:val="000000" w:themeColor="text1"/>
        </w:rPr>
        <w:t>Wea. Forecasting</w:t>
      </w:r>
      <w:r w:rsidRPr="00F34A55">
        <w:rPr>
          <w:color w:val="000000" w:themeColor="text1"/>
        </w:rPr>
        <w:t xml:space="preserve">, </w:t>
      </w:r>
      <w:r w:rsidRPr="00F34A55">
        <w:rPr>
          <w:b/>
          <w:color w:val="000000" w:themeColor="text1"/>
        </w:rPr>
        <w:t>3</w:t>
      </w:r>
      <w:r w:rsidRPr="00F34A55">
        <w:rPr>
          <w:color w:val="000000" w:themeColor="text1"/>
        </w:rPr>
        <w:t xml:space="preserve">, 217–229, </w:t>
      </w:r>
      <w:hyperlink r:id="rId66" w:history="1">
        <w:r w:rsidR="00C464DC" w:rsidRPr="00926B03">
          <w:rPr>
            <w:rStyle w:val="Hyperlink"/>
          </w:rPr>
          <w:t>https://doi.org/10.1175/1520-0434(1988)003&lt;0217:TROLHR&gt;2.0.CO;2</w:t>
        </w:r>
      </w:hyperlink>
      <w:r>
        <w:rPr>
          <w:color w:val="000000" w:themeColor="text1"/>
        </w:rPr>
        <w:t>.</w:t>
      </w:r>
    </w:p>
    <w:p w14:paraId="1DFAFCCC" w14:textId="5BE1C17F" w:rsidR="00EA5AFA" w:rsidRPr="00EA5AFA" w:rsidRDefault="00EA5AFA" w:rsidP="00C464DC">
      <w:pPr>
        <w:ind w:left="360" w:hanging="360"/>
        <w:rPr>
          <w:color w:val="000000" w:themeColor="text1"/>
        </w:rPr>
      </w:pPr>
      <w:r w:rsidRPr="00F34A55">
        <w:rPr>
          <w:color w:val="000000" w:themeColor="text1"/>
        </w:rPr>
        <w:t xml:space="preserve">Reed, R. J., M. T. </w:t>
      </w:r>
      <w:proofErr w:type="spellStart"/>
      <w:r w:rsidRPr="00F34A55">
        <w:rPr>
          <w:color w:val="000000" w:themeColor="text1"/>
        </w:rPr>
        <w:t>Stoelinga</w:t>
      </w:r>
      <w:proofErr w:type="spellEnd"/>
      <w:r w:rsidRPr="00F34A55">
        <w:rPr>
          <w:color w:val="000000" w:themeColor="text1"/>
        </w:rPr>
        <w:t xml:space="preserve">, and Y.-H. </w:t>
      </w:r>
      <w:proofErr w:type="spellStart"/>
      <w:r w:rsidRPr="00F34A55">
        <w:rPr>
          <w:color w:val="000000" w:themeColor="text1"/>
        </w:rPr>
        <w:t>Kuo</w:t>
      </w:r>
      <w:proofErr w:type="spellEnd"/>
      <w:r w:rsidRPr="00F34A55">
        <w:rPr>
          <w:color w:val="000000" w:themeColor="text1"/>
        </w:rPr>
        <w:t xml:space="preserve">, 1992: A model-aided study of the origin and evolution of the anomalously high potential vorticity in the inner region of a rapidly deepening marine cyclone. </w:t>
      </w:r>
      <w:r w:rsidRPr="00F34A55">
        <w:rPr>
          <w:i/>
          <w:color w:val="000000" w:themeColor="text1"/>
        </w:rPr>
        <w:t>Mon. Wea. Rev.</w:t>
      </w:r>
      <w:r w:rsidRPr="00F34A55">
        <w:rPr>
          <w:color w:val="000000" w:themeColor="text1"/>
        </w:rPr>
        <w:t xml:space="preserve">, </w:t>
      </w:r>
      <w:r w:rsidRPr="00F34A55">
        <w:rPr>
          <w:b/>
          <w:color w:val="000000" w:themeColor="text1"/>
        </w:rPr>
        <w:t>120</w:t>
      </w:r>
      <w:r w:rsidRPr="00F34A55">
        <w:rPr>
          <w:color w:val="000000" w:themeColor="text1"/>
        </w:rPr>
        <w:t xml:space="preserve">, 893–913, </w:t>
      </w:r>
      <w:hyperlink r:id="rId67" w:history="1">
        <w:r w:rsidR="00C464DC" w:rsidRPr="00926B03">
          <w:rPr>
            <w:rStyle w:val="Hyperlink"/>
          </w:rPr>
          <w:t>https://doi.org/10.1175/1520-0493(1992)120&lt;0893:AMASOT&gt;2.0.CO;2</w:t>
        </w:r>
      </w:hyperlink>
      <w:r>
        <w:rPr>
          <w:color w:val="000000" w:themeColor="text1"/>
        </w:rPr>
        <w:t>.</w:t>
      </w:r>
    </w:p>
    <w:p w14:paraId="079A0B9F" w14:textId="659F1BB9" w:rsidR="00527D6B" w:rsidRDefault="00527D6B" w:rsidP="00C464DC">
      <w:pPr>
        <w:ind w:left="360" w:hanging="360"/>
      </w:pPr>
      <w:r>
        <w:t xml:space="preserve">Rodwell, J., and Coauthors, 2013: Characteristics of occasional poor medium-range weather forecasts for Europe. </w:t>
      </w:r>
      <w:r w:rsidRPr="000218AC">
        <w:rPr>
          <w:i/>
        </w:rPr>
        <w:t>Bull. Ame</w:t>
      </w:r>
      <w:r w:rsidR="002A75FB" w:rsidRPr="000218AC">
        <w:rPr>
          <w:i/>
        </w:rPr>
        <w:t>r. Meteor. Soc.</w:t>
      </w:r>
      <w:r w:rsidR="002A75FB">
        <w:t xml:space="preserve">, </w:t>
      </w:r>
      <w:r w:rsidR="002A75FB" w:rsidRPr="000218AC">
        <w:rPr>
          <w:b/>
        </w:rPr>
        <w:t>94</w:t>
      </w:r>
      <w:r w:rsidR="002A75FB">
        <w:t xml:space="preserve">, 1393–1405, </w:t>
      </w:r>
      <w:hyperlink r:id="rId68" w:history="1">
        <w:r w:rsidR="00C464DC" w:rsidRPr="00926B03">
          <w:rPr>
            <w:rStyle w:val="Hyperlink"/>
          </w:rPr>
          <w:t>https://doi.org/10.1175/BAMS-D-12-00099.1</w:t>
        </w:r>
      </w:hyperlink>
      <w:r>
        <w:t>.</w:t>
      </w:r>
    </w:p>
    <w:p w14:paraId="153E1FD9" w14:textId="156D1B45" w:rsidR="00527D6B" w:rsidRDefault="00527D6B" w:rsidP="00C464DC">
      <w:pPr>
        <w:ind w:left="360" w:hanging="360"/>
      </w:pPr>
      <w:r>
        <w:t xml:space="preserve">Sanders, F., 1986: Explosive cyclogenesis over the west-central North Atlantic Ocean, 1981–84. Part II: Evaluation of LFM model performance. </w:t>
      </w:r>
      <w:r w:rsidRPr="000218AC">
        <w:rPr>
          <w:i/>
        </w:rPr>
        <w:t>Mon. Wea. Rev.</w:t>
      </w:r>
      <w:r>
        <w:t xml:space="preserve">, </w:t>
      </w:r>
      <w:r w:rsidRPr="000218AC">
        <w:rPr>
          <w:b/>
        </w:rPr>
        <w:t>114</w:t>
      </w:r>
      <w:r>
        <w:t xml:space="preserve">, 2207–2218, </w:t>
      </w:r>
      <w:hyperlink r:id="rId69" w:history="1">
        <w:r w:rsidR="00C464DC" w:rsidRPr="00926B03">
          <w:rPr>
            <w:rStyle w:val="Hyperlink"/>
          </w:rPr>
          <w:t>https://doi.org/10.1175/1520-0493(1986)114&lt;2207:ECOTWC&gt;2.0.CO;2</w:t>
        </w:r>
      </w:hyperlink>
      <w:r>
        <w:t>.</w:t>
      </w:r>
    </w:p>
    <w:p w14:paraId="65747144" w14:textId="60568BA8" w:rsidR="00527D6B" w:rsidRDefault="00527D6B" w:rsidP="00C464DC">
      <w:pPr>
        <w:ind w:left="360" w:hanging="360"/>
      </w:pPr>
      <w:proofErr w:type="spellStart"/>
      <w:r>
        <w:lastRenderedPageBreak/>
        <w:t>Sandu</w:t>
      </w:r>
      <w:proofErr w:type="spellEnd"/>
      <w:r>
        <w:t xml:space="preserve">, I., and P. Bauer, 2018: Improving prediction and climate monitoring of polar regions–challenges and priorities. ECMWF science blog, </w:t>
      </w:r>
      <w:hyperlink r:id="rId70" w:history="1">
        <w:r w:rsidR="00C464DC" w:rsidRPr="00926B03">
          <w:rPr>
            <w:rStyle w:val="Hyperlink"/>
          </w:rPr>
          <w:t>https://www.ecmwf.int/en/about/media-centre/science-blog/2018/improving-prediction-and-climate-monitoring-polar-regions</w:t>
        </w:r>
      </w:hyperlink>
      <w:r>
        <w:t>.</w:t>
      </w:r>
    </w:p>
    <w:p w14:paraId="7884A852" w14:textId="6B0732A8" w:rsidR="00D96778" w:rsidRDefault="00D96778" w:rsidP="00C464DC">
      <w:pPr>
        <w:ind w:left="360" w:hanging="360"/>
      </w:pPr>
      <w:proofErr w:type="spellStart"/>
      <w:r>
        <w:t>Selz</w:t>
      </w:r>
      <w:proofErr w:type="spellEnd"/>
      <w:r>
        <w:t>, T., and G. C. Craig, 2015: Upscale error growth in a high</w:t>
      </w:r>
      <w:r w:rsidR="00A7266C">
        <w:t>-</w:t>
      </w:r>
      <w:r>
        <w:t xml:space="preserve">resolution simulation of a summertime weather event over Europe. </w:t>
      </w:r>
      <w:r w:rsidRPr="00D96778">
        <w:rPr>
          <w:i/>
        </w:rPr>
        <w:t>Mon. Wea. Rev.</w:t>
      </w:r>
      <w:r>
        <w:t xml:space="preserve">, </w:t>
      </w:r>
      <w:r w:rsidRPr="00D96778">
        <w:rPr>
          <w:b/>
        </w:rPr>
        <w:t>143</w:t>
      </w:r>
      <w:r>
        <w:t xml:space="preserve">, 813–827, </w:t>
      </w:r>
      <w:hyperlink r:id="rId71" w:history="1">
        <w:r w:rsidR="00C464DC" w:rsidRPr="00926B03">
          <w:rPr>
            <w:rStyle w:val="Hyperlink"/>
          </w:rPr>
          <w:t>https://doi.org/10.1175/MWR-D-14-00140.1</w:t>
        </w:r>
      </w:hyperlink>
      <w:r>
        <w:t>.</w:t>
      </w:r>
    </w:p>
    <w:p w14:paraId="037BBF37" w14:textId="5EC06FA8" w:rsidR="00527D6B" w:rsidRDefault="00527D6B" w:rsidP="00C464DC">
      <w:pPr>
        <w:ind w:left="360" w:hanging="360"/>
      </w:pPr>
      <w:r>
        <w:t xml:space="preserve">Serreze, M. C., 1995: Climatological aspects of cyclone development and decay in the Arctic. </w:t>
      </w:r>
      <w:r w:rsidRPr="000218AC">
        <w:rPr>
          <w:i/>
        </w:rPr>
        <w:t>Atmos.–Ocean</w:t>
      </w:r>
      <w:r>
        <w:t xml:space="preserve">, </w:t>
      </w:r>
      <w:r w:rsidRPr="000218AC">
        <w:rPr>
          <w:b/>
        </w:rPr>
        <w:t>33</w:t>
      </w:r>
      <w:r>
        <w:t xml:space="preserve">, 1–23, </w:t>
      </w:r>
      <w:hyperlink r:id="rId72" w:history="1">
        <w:r w:rsidR="00C464DC" w:rsidRPr="00926B03">
          <w:rPr>
            <w:rStyle w:val="Hyperlink"/>
          </w:rPr>
          <w:t>https://doi.org/10.1080/07055900.1995.9649522</w:t>
        </w:r>
      </w:hyperlink>
      <w:r>
        <w:t>.</w:t>
      </w:r>
    </w:p>
    <w:p w14:paraId="63DD391B" w14:textId="3E70FEF8" w:rsidR="00067348" w:rsidRDefault="00067348" w:rsidP="00C464DC">
      <w:pPr>
        <w:ind w:left="360" w:hanging="360"/>
        <w:rPr>
          <w:color w:val="000000" w:themeColor="text1"/>
        </w:rPr>
      </w:pPr>
      <w:r w:rsidRPr="00F34A55">
        <w:rPr>
          <w:color w:val="000000" w:themeColor="text1"/>
        </w:rPr>
        <w:t xml:space="preserve">Serreze, M. C., and A. P. Barrett, 2008: The summer cyclone maximum over the central Arctic Ocean. </w:t>
      </w:r>
      <w:r w:rsidRPr="00F34A55">
        <w:rPr>
          <w:i/>
          <w:color w:val="000000" w:themeColor="text1"/>
        </w:rPr>
        <w:t>J. Climate</w:t>
      </w:r>
      <w:r w:rsidRPr="00F34A55">
        <w:rPr>
          <w:color w:val="000000" w:themeColor="text1"/>
        </w:rPr>
        <w:t xml:space="preserve">, </w:t>
      </w:r>
      <w:r w:rsidRPr="00F34A55">
        <w:rPr>
          <w:b/>
          <w:color w:val="000000" w:themeColor="text1"/>
        </w:rPr>
        <w:t>21</w:t>
      </w:r>
      <w:r w:rsidRPr="00F34A55">
        <w:rPr>
          <w:color w:val="000000" w:themeColor="text1"/>
        </w:rPr>
        <w:t xml:space="preserve">, 1048–1065, </w:t>
      </w:r>
      <w:hyperlink r:id="rId73" w:history="1">
        <w:r w:rsidR="00C464DC" w:rsidRPr="00926B03">
          <w:rPr>
            <w:rStyle w:val="Hyperlink"/>
          </w:rPr>
          <w:t>https://doi.org/10.1175/2007JCLI1810.1</w:t>
        </w:r>
      </w:hyperlink>
      <w:r w:rsidRPr="00F34A55">
        <w:rPr>
          <w:color w:val="000000" w:themeColor="text1"/>
        </w:rPr>
        <w:t>.</w:t>
      </w:r>
    </w:p>
    <w:p w14:paraId="63EE3C9E" w14:textId="3C5B680A" w:rsidR="00527D6B" w:rsidRDefault="00527D6B" w:rsidP="00C464DC">
      <w:pPr>
        <w:ind w:left="360" w:hanging="360"/>
      </w:pPr>
      <w:r>
        <w:t xml:space="preserve">Simmonds, I., and I. </w:t>
      </w:r>
      <w:proofErr w:type="spellStart"/>
      <w:r>
        <w:t>Rudeva</w:t>
      </w:r>
      <w:proofErr w:type="spellEnd"/>
      <w:r>
        <w:t xml:space="preserve">, 2012: The great Arctic cyclone of August 2012. </w:t>
      </w:r>
      <w:proofErr w:type="spellStart"/>
      <w:r w:rsidRPr="000218AC">
        <w:rPr>
          <w:i/>
        </w:rPr>
        <w:t>Geophys</w:t>
      </w:r>
      <w:proofErr w:type="spellEnd"/>
      <w:r w:rsidRPr="000218AC">
        <w:rPr>
          <w:i/>
        </w:rPr>
        <w:t>. Res. Lett.</w:t>
      </w:r>
      <w:r>
        <w:t xml:space="preserve">, </w:t>
      </w:r>
      <w:r w:rsidRPr="000218AC">
        <w:rPr>
          <w:b/>
        </w:rPr>
        <w:t>39</w:t>
      </w:r>
      <w:r>
        <w:t xml:space="preserve">, L23709, </w:t>
      </w:r>
      <w:hyperlink r:id="rId74" w:history="1">
        <w:r w:rsidR="00C464DC" w:rsidRPr="00926B03">
          <w:rPr>
            <w:rStyle w:val="Hyperlink"/>
          </w:rPr>
          <w:t>https://doi.org/10.1029/2012GL054259</w:t>
        </w:r>
      </w:hyperlink>
      <w:r>
        <w:t>.</w:t>
      </w:r>
    </w:p>
    <w:p w14:paraId="12BBCEF7" w14:textId="22B5115F" w:rsidR="00FE5109" w:rsidRPr="004565DD" w:rsidRDefault="00FE5109" w:rsidP="00C464DC">
      <w:pPr>
        <w:ind w:left="360" w:hanging="360"/>
        <w:rPr>
          <w:color w:val="000000" w:themeColor="text1"/>
        </w:rPr>
      </w:pPr>
      <w:r w:rsidRPr="00F34A55">
        <w:rPr>
          <w:color w:val="000000" w:themeColor="text1"/>
        </w:rPr>
        <w:t xml:space="preserve">Simmonds, I., and I. </w:t>
      </w:r>
      <w:proofErr w:type="spellStart"/>
      <w:r w:rsidRPr="00F34A55">
        <w:rPr>
          <w:color w:val="000000" w:themeColor="text1"/>
        </w:rPr>
        <w:t>Rudeva</w:t>
      </w:r>
      <w:proofErr w:type="spellEnd"/>
      <w:r w:rsidRPr="00F34A55">
        <w:rPr>
          <w:color w:val="000000" w:themeColor="text1"/>
        </w:rPr>
        <w:t xml:space="preserve">, 2014: A comparison of tracking methods for extreme cyclones in the Arctic basin. </w:t>
      </w:r>
      <w:r w:rsidRPr="00F34A55">
        <w:rPr>
          <w:i/>
          <w:color w:val="000000" w:themeColor="text1"/>
        </w:rPr>
        <w:t>Tellus</w:t>
      </w:r>
      <w:r w:rsidRPr="00F34A55">
        <w:rPr>
          <w:color w:val="000000" w:themeColor="text1"/>
        </w:rPr>
        <w:t xml:space="preserve">, </w:t>
      </w:r>
      <w:r w:rsidRPr="00F34A55">
        <w:rPr>
          <w:b/>
          <w:color w:val="000000" w:themeColor="text1"/>
        </w:rPr>
        <w:t>66A</w:t>
      </w:r>
      <w:r w:rsidRPr="00F34A55">
        <w:rPr>
          <w:color w:val="000000" w:themeColor="text1"/>
        </w:rPr>
        <w:t xml:space="preserve">, 25252, </w:t>
      </w:r>
      <w:hyperlink r:id="rId75" w:history="1">
        <w:r w:rsidR="00C464DC" w:rsidRPr="00926B03">
          <w:rPr>
            <w:rStyle w:val="Hyperlink"/>
          </w:rPr>
          <w:t>https://doi.org/10.3402/tellusa.v66.25252</w:t>
        </w:r>
      </w:hyperlink>
      <w:r w:rsidRPr="00F34A55">
        <w:rPr>
          <w:color w:val="000000" w:themeColor="text1"/>
        </w:rPr>
        <w:t>.</w:t>
      </w:r>
    </w:p>
    <w:p w14:paraId="668D7B00" w14:textId="0A6F034A" w:rsidR="00527D6B" w:rsidRDefault="00527D6B" w:rsidP="00C464DC">
      <w:pPr>
        <w:ind w:left="360" w:hanging="360"/>
      </w:pPr>
      <w:r>
        <w:t xml:space="preserve">Stern, D. P, J. D. Doyle, N. P. Barton, P. M. Finocchio, W. A. </w:t>
      </w:r>
      <w:proofErr w:type="spellStart"/>
      <w:r>
        <w:t>Komaromi</w:t>
      </w:r>
      <w:proofErr w:type="spellEnd"/>
      <w:r>
        <w:t>, and E. J. Metzger, 2020: The impact of an intense cyclone on short-term sea ice loss in a fully coupled</w:t>
      </w:r>
      <w:r w:rsidR="002A75FB">
        <w:t xml:space="preserve"> </w:t>
      </w:r>
      <w:r>
        <w:t xml:space="preserve">atmosphere-ocean-ice model. </w:t>
      </w:r>
      <w:proofErr w:type="spellStart"/>
      <w:r w:rsidRPr="000218AC">
        <w:rPr>
          <w:i/>
        </w:rPr>
        <w:t>Geophys</w:t>
      </w:r>
      <w:proofErr w:type="spellEnd"/>
      <w:r w:rsidRPr="000218AC">
        <w:rPr>
          <w:i/>
        </w:rPr>
        <w:t>.</w:t>
      </w:r>
      <w:r w:rsidR="002A75FB" w:rsidRPr="000218AC">
        <w:rPr>
          <w:i/>
        </w:rPr>
        <w:t xml:space="preserve"> Res. Lett.</w:t>
      </w:r>
      <w:r w:rsidR="002A75FB">
        <w:t xml:space="preserve">, </w:t>
      </w:r>
      <w:r w:rsidR="002A75FB" w:rsidRPr="000218AC">
        <w:rPr>
          <w:b/>
        </w:rPr>
        <w:t>47</w:t>
      </w:r>
      <w:r w:rsidR="002A75FB">
        <w:t xml:space="preserve">, e2019GL085580, </w:t>
      </w:r>
      <w:hyperlink r:id="rId76" w:history="1">
        <w:r w:rsidR="00C464DC" w:rsidRPr="00926B03">
          <w:rPr>
            <w:rStyle w:val="Hyperlink"/>
          </w:rPr>
          <w:t>https://doi.org/10.1029/2019GL085580</w:t>
        </w:r>
      </w:hyperlink>
      <w:r>
        <w:t>.</w:t>
      </w:r>
    </w:p>
    <w:p w14:paraId="5F6BBC20" w14:textId="5574ACE0" w:rsidR="0010727A" w:rsidRDefault="0010727A" w:rsidP="00C464DC">
      <w:pPr>
        <w:ind w:left="360" w:hanging="360"/>
      </w:pPr>
      <w:proofErr w:type="spellStart"/>
      <w:r w:rsidRPr="00F34A55">
        <w:t>Stoelinga</w:t>
      </w:r>
      <w:proofErr w:type="spellEnd"/>
      <w:r w:rsidRPr="00F34A55">
        <w:t xml:space="preserve">, M. T., 1996: A potential vorticity–based study of the role of diabatic heating and friction in a numerically simulated baroclinic cyclone. </w:t>
      </w:r>
      <w:r w:rsidRPr="00F34A55">
        <w:rPr>
          <w:i/>
        </w:rPr>
        <w:t>Mon. Wea. Rev.</w:t>
      </w:r>
      <w:r w:rsidRPr="00F34A55">
        <w:t xml:space="preserve">, </w:t>
      </w:r>
      <w:r w:rsidRPr="00F34A55">
        <w:rPr>
          <w:b/>
        </w:rPr>
        <w:t>124</w:t>
      </w:r>
      <w:r w:rsidRPr="00F34A55">
        <w:t xml:space="preserve">, 849–874, </w:t>
      </w:r>
      <w:hyperlink r:id="rId77" w:history="1">
        <w:r w:rsidR="00C464DC" w:rsidRPr="00926B03">
          <w:rPr>
            <w:rStyle w:val="Hyperlink"/>
          </w:rPr>
          <w:t>https://doi.org/10.1175/1520-0493(1996)124&lt;0849:APVBSO&gt;2.0.CO;2</w:t>
        </w:r>
      </w:hyperlink>
      <w:r w:rsidRPr="00F34A55">
        <w:t>.</w:t>
      </w:r>
    </w:p>
    <w:p w14:paraId="503F4447" w14:textId="03C55FD5" w:rsidR="00C57EAA" w:rsidRDefault="00C57EAA" w:rsidP="00C57EAA">
      <w:pPr>
        <w:ind w:left="360" w:hanging="360"/>
      </w:pPr>
      <w:r w:rsidRPr="00C57EAA">
        <w:t xml:space="preserve">Stroeve, J., and D. </w:t>
      </w:r>
      <w:proofErr w:type="spellStart"/>
      <w:r w:rsidRPr="00C57EAA">
        <w:t>Notz</w:t>
      </w:r>
      <w:proofErr w:type="spellEnd"/>
      <w:r w:rsidRPr="00C57EAA">
        <w:t xml:space="preserve">, 2018: Changing state of </w:t>
      </w:r>
      <w:proofErr w:type="gramStart"/>
      <w:r w:rsidRPr="00C57EAA">
        <w:t>Arctic sea</w:t>
      </w:r>
      <w:proofErr w:type="gramEnd"/>
      <w:r w:rsidRPr="00C57EAA">
        <w:t xml:space="preserve"> ice</w:t>
      </w:r>
      <w:r>
        <w:t xml:space="preserve"> </w:t>
      </w:r>
      <w:r w:rsidRPr="00C57EAA">
        <w:t xml:space="preserve">across all seasons. </w:t>
      </w:r>
      <w:r w:rsidRPr="004674FE">
        <w:rPr>
          <w:i/>
          <w:iCs/>
        </w:rPr>
        <w:t>Environ. Res. Lett.</w:t>
      </w:r>
      <w:r w:rsidRPr="00C57EAA">
        <w:t xml:space="preserve">, </w:t>
      </w:r>
      <w:r w:rsidRPr="004674FE">
        <w:rPr>
          <w:b/>
          <w:bCs/>
        </w:rPr>
        <w:t>13</w:t>
      </w:r>
      <w:r w:rsidRPr="00C57EAA">
        <w:t xml:space="preserve">, 103001, </w:t>
      </w:r>
      <w:hyperlink r:id="rId78" w:history="1">
        <w:r w:rsidRPr="00747EF0">
          <w:rPr>
            <w:rStyle w:val="Hyperlink"/>
          </w:rPr>
          <w:t>https://doi.org/10.1088/1748-9326/aade56</w:t>
        </w:r>
      </w:hyperlink>
      <w:r w:rsidRPr="00C57EAA">
        <w:t>.</w:t>
      </w:r>
    </w:p>
    <w:p w14:paraId="44E954A7" w14:textId="43CD4145" w:rsidR="00527D6B" w:rsidRDefault="00527D6B" w:rsidP="000A159F">
      <w:pPr>
        <w:ind w:left="360" w:hanging="360"/>
      </w:pPr>
      <w:r>
        <w:t xml:space="preserve">Tao, W., J. Zhang, and X. Zhang, 2017a: The role of stratosphere vortex downward intrusion in a long-lasting late-summer Arctic storm. </w:t>
      </w:r>
      <w:r w:rsidRPr="000218AC">
        <w:rPr>
          <w:i/>
        </w:rPr>
        <w:t>Quart. J. Roy. Meteor. Soc.</w:t>
      </w:r>
      <w:r>
        <w:t xml:space="preserve">, </w:t>
      </w:r>
      <w:r w:rsidRPr="000218AC">
        <w:rPr>
          <w:b/>
        </w:rPr>
        <w:t>143</w:t>
      </w:r>
      <w:r>
        <w:t xml:space="preserve">, 1953–1966, </w:t>
      </w:r>
      <w:hyperlink r:id="rId79" w:history="1">
        <w:r w:rsidR="000A159F" w:rsidRPr="00926B03">
          <w:rPr>
            <w:rStyle w:val="Hyperlink"/>
          </w:rPr>
          <w:t>https://doi.org/10.1002/qj.3055</w:t>
        </w:r>
      </w:hyperlink>
      <w:r>
        <w:t>.</w:t>
      </w:r>
    </w:p>
    <w:p w14:paraId="33E6B1EB" w14:textId="33C8F1BA" w:rsidR="00527D6B" w:rsidRDefault="00527D6B" w:rsidP="000A159F">
      <w:pPr>
        <w:ind w:left="360" w:hanging="360"/>
      </w:pPr>
      <w:r>
        <w:t xml:space="preserve">Tao, W., J. Zhang, Y. Fu, and X. Zhang, 2017b: Driving roles of tropospheric and stratospheric thermal anomalies in intensification and persistence of the Arctic superstorm in 2012. </w:t>
      </w:r>
      <w:proofErr w:type="spellStart"/>
      <w:r w:rsidRPr="000218AC">
        <w:rPr>
          <w:i/>
        </w:rPr>
        <w:t>Geophys</w:t>
      </w:r>
      <w:proofErr w:type="spellEnd"/>
      <w:r w:rsidRPr="000218AC">
        <w:rPr>
          <w:i/>
        </w:rPr>
        <w:t>. Res. Lett.</w:t>
      </w:r>
      <w:r>
        <w:t xml:space="preserve">, </w:t>
      </w:r>
      <w:r w:rsidRPr="000218AC">
        <w:rPr>
          <w:b/>
        </w:rPr>
        <w:t>44</w:t>
      </w:r>
      <w:r>
        <w:t xml:space="preserve">, 10017–10025, </w:t>
      </w:r>
      <w:hyperlink r:id="rId80" w:history="1">
        <w:r w:rsidR="000A159F" w:rsidRPr="00926B03">
          <w:rPr>
            <w:rStyle w:val="Hyperlink"/>
          </w:rPr>
          <w:t>https://doi.org/10.1002/2017GL074778</w:t>
        </w:r>
      </w:hyperlink>
      <w:r>
        <w:t>.</w:t>
      </w:r>
    </w:p>
    <w:p w14:paraId="060D6C97" w14:textId="78923641" w:rsidR="00527D6B" w:rsidRDefault="00527D6B" w:rsidP="000A159F">
      <w:pPr>
        <w:ind w:left="360" w:hanging="360"/>
      </w:pPr>
      <w:r>
        <w:lastRenderedPageBreak/>
        <w:t xml:space="preserve">Thomson, J., and W. E. Rogers, 2014: Swell and sea in the emerging Arctic Ocean. </w:t>
      </w:r>
      <w:proofErr w:type="spellStart"/>
      <w:r w:rsidRPr="000218AC">
        <w:rPr>
          <w:i/>
        </w:rPr>
        <w:t>Geophys</w:t>
      </w:r>
      <w:proofErr w:type="spellEnd"/>
      <w:r w:rsidRPr="000218AC">
        <w:rPr>
          <w:i/>
        </w:rPr>
        <w:t>. Res. Lett.</w:t>
      </w:r>
      <w:r>
        <w:t xml:space="preserve">, </w:t>
      </w:r>
      <w:r w:rsidRPr="000218AC">
        <w:rPr>
          <w:b/>
        </w:rPr>
        <w:t>41</w:t>
      </w:r>
      <w:r>
        <w:t xml:space="preserve">, 3136–3140, </w:t>
      </w:r>
      <w:hyperlink r:id="rId81" w:history="1">
        <w:r w:rsidR="000A159F" w:rsidRPr="00926B03">
          <w:rPr>
            <w:rStyle w:val="Hyperlink"/>
          </w:rPr>
          <w:t>https://doi.org/10.1002/2014GL059983</w:t>
        </w:r>
      </w:hyperlink>
      <w:r>
        <w:t>.</w:t>
      </w:r>
    </w:p>
    <w:p w14:paraId="2A0EB442" w14:textId="2EFFCD54" w:rsidR="00FA72E3" w:rsidRDefault="00FA72E3" w:rsidP="000A159F">
      <w:pPr>
        <w:ind w:left="360" w:hanging="360"/>
      </w:pPr>
      <w:r>
        <w:t>Torn, R. D., and G. J. Hakim, 2015: Comparison of wave packets associated with extratropical t</w:t>
      </w:r>
      <w:r w:rsidRPr="00D20183">
        <w:t>ransition</w:t>
      </w:r>
      <w:r>
        <w:t xml:space="preserve"> and winter c</w:t>
      </w:r>
      <w:r w:rsidRPr="00D20183">
        <w:t>yclones</w:t>
      </w:r>
      <w:r>
        <w:t>.</w:t>
      </w:r>
      <w:r w:rsidRPr="00D20183">
        <w:rPr>
          <w:i/>
        </w:rPr>
        <w:t xml:space="preserve"> </w:t>
      </w:r>
      <w:r w:rsidRPr="00F34A55">
        <w:rPr>
          <w:i/>
        </w:rPr>
        <w:t>Mon. Wea. Rev.</w:t>
      </w:r>
      <w:r w:rsidRPr="00F34A55">
        <w:t xml:space="preserve">, </w:t>
      </w:r>
      <w:r w:rsidRPr="00F34A55">
        <w:rPr>
          <w:b/>
        </w:rPr>
        <w:t>14</w:t>
      </w:r>
      <w:r>
        <w:rPr>
          <w:b/>
        </w:rPr>
        <w:t>3</w:t>
      </w:r>
      <w:r>
        <w:t>, 1782–1803</w:t>
      </w:r>
      <w:r w:rsidRPr="00F34A55">
        <w:t>,</w:t>
      </w:r>
      <w:r>
        <w:t xml:space="preserve"> </w:t>
      </w:r>
      <w:hyperlink r:id="rId82" w:history="1">
        <w:r w:rsidR="000A159F" w:rsidRPr="00926B03">
          <w:rPr>
            <w:rStyle w:val="Hyperlink"/>
          </w:rPr>
          <w:t>https://doi.org/10.1175/MWR-D-14-00006.1</w:t>
        </w:r>
      </w:hyperlink>
      <w:r>
        <w:t>.</w:t>
      </w:r>
    </w:p>
    <w:p w14:paraId="1D0F44FD" w14:textId="4A7D367C" w:rsidR="00E572EA" w:rsidRDefault="00E572EA" w:rsidP="000A159F">
      <w:pPr>
        <w:ind w:left="360" w:hanging="360"/>
      </w:pPr>
      <w:proofErr w:type="spellStart"/>
      <w:r w:rsidRPr="00F34A55">
        <w:t>Tracton</w:t>
      </w:r>
      <w:proofErr w:type="spellEnd"/>
      <w:r w:rsidRPr="00F34A55">
        <w:t xml:space="preserve">, M. S., 1973: The role of cumulus convection in the development of extratropical cyclones. </w:t>
      </w:r>
      <w:r w:rsidRPr="00F34A55">
        <w:rPr>
          <w:i/>
        </w:rPr>
        <w:t>Mon. Wea. Rev.</w:t>
      </w:r>
      <w:r w:rsidRPr="00F34A55">
        <w:t xml:space="preserve">, </w:t>
      </w:r>
      <w:r w:rsidRPr="00F34A55">
        <w:rPr>
          <w:b/>
        </w:rPr>
        <w:t>101</w:t>
      </w:r>
      <w:r w:rsidRPr="00F34A55">
        <w:t xml:space="preserve">, 573–593, </w:t>
      </w:r>
      <w:hyperlink r:id="rId83" w:history="1">
        <w:r w:rsidR="000A159F" w:rsidRPr="00926B03">
          <w:rPr>
            <w:rStyle w:val="Hyperlink"/>
          </w:rPr>
          <w:t>https://doi.org/10.1175/1520-0493(1973)101&lt;0573:TROCCI&gt;2.3.CO;2</w:t>
        </w:r>
      </w:hyperlink>
      <w:r w:rsidRPr="00F34A55">
        <w:t>.</w:t>
      </w:r>
    </w:p>
    <w:p w14:paraId="4FBFB21E" w14:textId="6171AA56" w:rsidR="00527D6B" w:rsidRDefault="00527D6B" w:rsidP="000A159F">
      <w:pPr>
        <w:ind w:left="360" w:hanging="360"/>
      </w:pPr>
      <w:proofErr w:type="spellStart"/>
      <w:r>
        <w:t>Tribbia</w:t>
      </w:r>
      <w:proofErr w:type="spellEnd"/>
      <w:r>
        <w:t xml:space="preserve">, J. J., and D. P. </w:t>
      </w:r>
      <w:proofErr w:type="spellStart"/>
      <w:r>
        <w:t>Baumhefner</w:t>
      </w:r>
      <w:proofErr w:type="spellEnd"/>
      <w:r>
        <w:t xml:space="preserve">, 2004: Scale interactions and atmospheric predictability: An updated perspective. </w:t>
      </w:r>
      <w:r w:rsidRPr="000218AC">
        <w:rPr>
          <w:i/>
        </w:rPr>
        <w:t>Mon. Wea. Rev.</w:t>
      </w:r>
      <w:r>
        <w:t xml:space="preserve">, </w:t>
      </w:r>
      <w:r w:rsidRPr="000218AC">
        <w:rPr>
          <w:b/>
        </w:rPr>
        <w:t>132</w:t>
      </w:r>
      <w:r>
        <w:t xml:space="preserve">, 703–713, </w:t>
      </w:r>
      <w:hyperlink r:id="rId84" w:history="1">
        <w:r w:rsidR="000A159F" w:rsidRPr="00926B03">
          <w:rPr>
            <w:rStyle w:val="Hyperlink"/>
          </w:rPr>
          <w:t>https://doi.org/10.1175/1520-0493(2004)132&lt;0703:SIAAPA&gt;2.0.CO;2</w:t>
        </w:r>
      </w:hyperlink>
      <w:r>
        <w:t>.</w:t>
      </w:r>
    </w:p>
    <w:p w14:paraId="7F7FA297" w14:textId="7B5375DB" w:rsidR="00527D6B" w:rsidRDefault="00527D6B" w:rsidP="000A159F">
      <w:pPr>
        <w:ind w:left="360" w:hanging="360"/>
      </w:pPr>
      <w:r>
        <w:t xml:space="preserve">U.S. Department of the Navy, 2021: </w:t>
      </w:r>
      <w:r w:rsidR="00224FA0">
        <w:t xml:space="preserve">A blue Arctic: </w:t>
      </w:r>
      <w:r>
        <w:t>A strategic blueprint for the Arctic. 28 pp,</w:t>
      </w:r>
      <w:r w:rsidR="002A75FB">
        <w:t xml:space="preserve"> </w:t>
      </w:r>
      <w:hyperlink r:id="rId85" w:history="1">
        <w:r w:rsidR="000A159F" w:rsidRPr="00926B03">
          <w:rPr>
            <w:rStyle w:val="Hyperlink"/>
          </w:rPr>
          <w:t>https://media.defense.gov/2021/Jan/05/2002560338/-1/-1/0/ARCTIC%20BLUEPRINT%202021%20FINAL.PDF/ARCTIC%20BLUEPRINT%202021%20FINAL.PDF</w:t>
        </w:r>
      </w:hyperlink>
      <w:r>
        <w:t>.</w:t>
      </w:r>
    </w:p>
    <w:p w14:paraId="5800C65E" w14:textId="11AA5EC5" w:rsidR="00527D6B" w:rsidRDefault="00527D6B" w:rsidP="000A159F">
      <w:pPr>
        <w:ind w:left="360" w:hanging="360"/>
      </w:pPr>
      <w:proofErr w:type="spellStart"/>
      <w:r>
        <w:t>Valkonen</w:t>
      </w:r>
      <w:proofErr w:type="spellEnd"/>
      <w:r>
        <w:t xml:space="preserve">, E., J. </w:t>
      </w:r>
      <w:proofErr w:type="spellStart"/>
      <w:r>
        <w:t>Cassano</w:t>
      </w:r>
      <w:proofErr w:type="spellEnd"/>
      <w:r>
        <w:t xml:space="preserve">, and E. </w:t>
      </w:r>
      <w:proofErr w:type="spellStart"/>
      <w:r>
        <w:t>Cassano</w:t>
      </w:r>
      <w:proofErr w:type="spellEnd"/>
      <w:r>
        <w:t xml:space="preserve">, 2021: Arctic cyclones and their interactions with the declining sea ice: A recent climatology. </w:t>
      </w:r>
      <w:r w:rsidRPr="000218AC">
        <w:rPr>
          <w:i/>
        </w:rPr>
        <w:t xml:space="preserve">J. </w:t>
      </w:r>
      <w:proofErr w:type="spellStart"/>
      <w:r w:rsidRPr="000218AC">
        <w:rPr>
          <w:i/>
        </w:rPr>
        <w:t>Geophys</w:t>
      </w:r>
      <w:proofErr w:type="spellEnd"/>
      <w:r w:rsidRPr="000218AC">
        <w:rPr>
          <w:i/>
        </w:rPr>
        <w:t>. Res. Atmos.</w:t>
      </w:r>
      <w:r>
        <w:t xml:space="preserve">, </w:t>
      </w:r>
      <w:r w:rsidRPr="000218AC">
        <w:rPr>
          <w:b/>
        </w:rPr>
        <w:t>126</w:t>
      </w:r>
      <w:r>
        <w:t xml:space="preserve">, e2020JD034366. </w:t>
      </w:r>
      <w:hyperlink r:id="rId86" w:history="1">
        <w:r w:rsidR="000A159F" w:rsidRPr="00926B03">
          <w:rPr>
            <w:rStyle w:val="Hyperlink"/>
          </w:rPr>
          <w:t>https://doi.org/10.1029/2020JD034366</w:t>
        </w:r>
      </w:hyperlink>
      <w:r>
        <w:t>.</w:t>
      </w:r>
    </w:p>
    <w:p w14:paraId="5AEB15B6" w14:textId="64741E4E" w:rsidR="00155D9A" w:rsidRPr="000A159F" w:rsidRDefault="00155D9A" w:rsidP="000A159F">
      <w:pPr>
        <w:ind w:left="360" w:hanging="360"/>
        <w:rPr>
          <w:iCs/>
          <w:color w:val="000000" w:themeColor="text1"/>
        </w:rPr>
      </w:pPr>
      <w:proofErr w:type="spellStart"/>
      <w:r w:rsidRPr="00F34A55">
        <w:t>Wernli</w:t>
      </w:r>
      <w:proofErr w:type="spellEnd"/>
      <w:r w:rsidRPr="00F34A55">
        <w:t xml:space="preserve">, H., S. </w:t>
      </w:r>
      <w:proofErr w:type="spellStart"/>
      <w:r w:rsidRPr="00F34A55">
        <w:t>Dirren</w:t>
      </w:r>
      <w:proofErr w:type="spellEnd"/>
      <w:r w:rsidRPr="00F34A55">
        <w:t xml:space="preserve">, M. A. </w:t>
      </w:r>
      <w:proofErr w:type="spellStart"/>
      <w:r w:rsidRPr="00F34A55">
        <w:t>Liniger</w:t>
      </w:r>
      <w:proofErr w:type="spellEnd"/>
      <w:r w:rsidRPr="00F34A55">
        <w:t xml:space="preserve">, and M. Zillig, 2002: Dynamical aspects of the life cycle of the winter storm ‘Lothar’ (24–26 December 1999). </w:t>
      </w:r>
      <w:r w:rsidRPr="00F34A55">
        <w:rPr>
          <w:i/>
          <w:iCs/>
          <w:color w:val="000000" w:themeColor="text1"/>
        </w:rPr>
        <w:t>Quart. J. Roy. Meteor. Soc.</w:t>
      </w:r>
      <w:r w:rsidRPr="0093529F">
        <w:rPr>
          <w:iCs/>
          <w:color w:val="000000" w:themeColor="text1"/>
        </w:rPr>
        <w:t>,</w:t>
      </w:r>
      <w:r w:rsidRPr="00F34A55">
        <w:rPr>
          <w:iCs/>
          <w:color w:val="000000" w:themeColor="text1"/>
        </w:rPr>
        <w:t xml:space="preserve"> </w:t>
      </w:r>
      <w:r w:rsidRPr="00F34A55">
        <w:rPr>
          <w:b/>
          <w:iCs/>
          <w:color w:val="000000" w:themeColor="text1"/>
        </w:rPr>
        <w:t>128</w:t>
      </w:r>
      <w:r w:rsidRPr="0093529F">
        <w:rPr>
          <w:iCs/>
          <w:color w:val="000000" w:themeColor="text1"/>
        </w:rPr>
        <w:t>,</w:t>
      </w:r>
      <w:r w:rsidRPr="00F34A55">
        <w:rPr>
          <w:iCs/>
          <w:color w:val="000000" w:themeColor="text1"/>
        </w:rPr>
        <w:t xml:space="preserve"> 405–429, </w:t>
      </w:r>
      <w:hyperlink r:id="rId87" w:history="1">
        <w:r w:rsidR="000A159F" w:rsidRPr="00926B03">
          <w:rPr>
            <w:rStyle w:val="Hyperlink"/>
            <w:iCs/>
          </w:rPr>
          <w:t>https://doi.org/10.1256/003590002321042036</w:t>
        </w:r>
      </w:hyperlink>
      <w:r w:rsidRPr="00F34A55">
        <w:rPr>
          <w:iCs/>
          <w:color w:val="000000" w:themeColor="text1"/>
        </w:rPr>
        <w:t>.</w:t>
      </w:r>
    </w:p>
    <w:p w14:paraId="68A8E872" w14:textId="7E9B39E5" w:rsidR="00527D6B" w:rsidRDefault="00527D6B" w:rsidP="000A159F">
      <w:pPr>
        <w:ind w:left="360" w:hanging="360"/>
      </w:pPr>
      <w:proofErr w:type="spellStart"/>
      <w:r>
        <w:t>Yamagami</w:t>
      </w:r>
      <w:proofErr w:type="spellEnd"/>
      <w:r>
        <w:t xml:space="preserve">, A., and M. </w:t>
      </w:r>
      <w:proofErr w:type="spellStart"/>
      <w:r>
        <w:t>Matsueda</w:t>
      </w:r>
      <w:proofErr w:type="spellEnd"/>
      <w:r>
        <w:t xml:space="preserve">, 2021: Statistical characteristics of Arctic forecast busts and their relationship to Arctic weather patterns in summer. </w:t>
      </w:r>
      <w:r w:rsidRPr="000218AC">
        <w:rPr>
          <w:i/>
        </w:rPr>
        <w:t>Atmos. Sci. Lett.</w:t>
      </w:r>
      <w:r>
        <w:t xml:space="preserve">, </w:t>
      </w:r>
      <w:r w:rsidRPr="000218AC">
        <w:rPr>
          <w:b/>
        </w:rPr>
        <w:t>22</w:t>
      </w:r>
      <w:r>
        <w:t xml:space="preserve">, e1038. </w:t>
      </w:r>
      <w:hyperlink r:id="rId88" w:history="1">
        <w:r w:rsidR="000A159F" w:rsidRPr="00926B03">
          <w:rPr>
            <w:rStyle w:val="Hyperlink"/>
          </w:rPr>
          <w:t>https://doi.org/10.1002/asl.1038</w:t>
        </w:r>
      </w:hyperlink>
      <w:r>
        <w:t>.</w:t>
      </w:r>
    </w:p>
    <w:p w14:paraId="5BBC697C" w14:textId="1FE8E25B" w:rsidR="00527D6B" w:rsidRDefault="00527D6B" w:rsidP="000A159F">
      <w:pPr>
        <w:ind w:left="360" w:hanging="360"/>
      </w:pPr>
      <w:proofErr w:type="spellStart"/>
      <w:r>
        <w:t>Yamagami</w:t>
      </w:r>
      <w:proofErr w:type="spellEnd"/>
      <w:r>
        <w:t xml:space="preserve">, A., M. Matsuda, and H. L. Tanaka, 2017: Extreme Arctic cyclone in August 2016. </w:t>
      </w:r>
      <w:r w:rsidRPr="000218AC">
        <w:rPr>
          <w:i/>
        </w:rPr>
        <w:t>Atmos. Sci. Lett.</w:t>
      </w:r>
      <w:r>
        <w:t xml:space="preserve">, </w:t>
      </w:r>
      <w:r w:rsidRPr="000218AC">
        <w:rPr>
          <w:b/>
        </w:rPr>
        <w:t>18</w:t>
      </w:r>
      <w:r>
        <w:t xml:space="preserve">, 307–314, </w:t>
      </w:r>
      <w:hyperlink r:id="rId89" w:history="1">
        <w:r w:rsidR="000A159F" w:rsidRPr="00926B03">
          <w:rPr>
            <w:rStyle w:val="Hyperlink"/>
          </w:rPr>
          <w:t>https://doi.org/10.1002/asl.757</w:t>
        </w:r>
      </w:hyperlink>
      <w:r>
        <w:t>.</w:t>
      </w:r>
    </w:p>
    <w:p w14:paraId="7DCF7985" w14:textId="10CEB09D" w:rsidR="00527D6B" w:rsidRDefault="00527D6B" w:rsidP="000A159F">
      <w:pPr>
        <w:ind w:left="360" w:hanging="360"/>
      </w:pPr>
      <w:proofErr w:type="spellStart"/>
      <w:r>
        <w:t>Yamagami</w:t>
      </w:r>
      <w:proofErr w:type="spellEnd"/>
      <w:r>
        <w:t xml:space="preserve">, A., M. </w:t>
      </w:r>
      <w:proofErr w:type="spellStart"/>
      <w:r>
        <w:t>Matsueda</w:t>
      </w:r>
      <w:proofErr w:type="spellEnd"/>
      <w:r>
        <w:t xml:space="preserve">, and H. L. Tanaka, 2018a: Predictability of the 2012 </w:t>
      </w:r>
      <w:r w:rsidR="00D31558">
        <w:t>G</w:t>
      </w:r>
      <w:r>
        <w:t xml:space="preserve">reat Arctic </w:t>
      </w:r>
      <w:r w:rsidR="00A034D0">
        <w:t>C</w:t>
      </w:r>
      <w:r>
        <w:t xml:space="preserve">yclone on medium-range timescales. </w:t>
      </w:r>
      <w:r w:rsidRPr="000218AC">
        <w:rPr>
          <w:i/>
        </w:rPr>
        <w:t>Polar Sci.</w:t>
      </w:r>
      <w:r>
        <w:t xml:space="preserve">, </w:t>
      </w:r>
      <w:r w:rsidRPr="000218AC">
        <w:rPr>
          <w:b/>
        </w:rPr>
        <w:t>15</w:t>
      </w:r>
      <w:r>
        <w:t xml:space="preserve">, 13–23, </w:t>
      </w:r>
      <w:hyperlink r:id="rId90" w:history="1">
        <w:r w:rsidR="000A159F" w:rsidRPr="00926B03">
          <w:rPr>
            <w:rStyle w:val="Hyperlink"/>
          </w:rPr>
          <w:t>https://doi.org/10.1016/j.polar.2018.01.002</w:t>
        </w:r>
      </w:hyperlink>
      <w:r>
        <w:t>.</w:t>
      </w:r>
    </w:p>
    <w:p w14:paraId="3DF6CFE0" w14:textId="658E4261" w:rsidR="00527D6B" w:rsidRDefault="00527D6B" w:rsidP="000A159F">
      <w:pPr>
        <w:ind w:left="360" w:hanging="360"/>
      </w:pPr>
      <w:proofErr w:type="spellStart"/>
      <w:r>
        <w:lastRenderedPageBreak/>
        <w:t>Yamagami</w:t>
      </w:r>
      <w:proofErr w:type="spellEnd"/>
      <w:r>
        <w:t xml:space="preserve">, A., M. </w:t>
      </w:r>
      <w:proofErr w:type="spellStart"/>
      <w:r>
        <w:t>Matsueda</w:t>
      </w:r>
      <w:proofErr w:type="spellEnd"/>
      <w:r>
        <w:t xml:space="preserve">, and H. L. Tanaka, 2018b: Medium-range forecast skill for extraordinary Arctic cyclones in summer of 2008–2016. </w:t>
      </w:r>
      <w:proofErr w:type="spellStart"/>
      <w:r w:rsidRPr="000218AC">
        <w:rPr>
          <w:i/>
        </w:rPr>
        <w:t>Geophys</w:t>
      </w:r>
      <w:proofErr w:type="spellEnd"/>
      <w:r w:rsidRPr="000218AC">
        <w:rPr>
          <w:i/>
        </w:rPr>
        <w:t>. Res. Lett.</w:t>
      </w:r>
      <w:r>
        <w:t xml:space="preserve">, </w:t>
      </w:r>
      <w:r w:rsidRPr="000218AC">
        <w:rPr>
          <w:b/>
        </w:rPr>
        <w:t>45</w:t>
      </w:r>
      <w:r>
        <w:t xml:space="preserve">, 4429– 4437, </w:t>
      </w:r>
      <w:hyperlink r:id="rId91" w:history="1">
        <w:r w:rsidR="000A159F" w:rsidRPr="00926B03">
          <w:rPr>
            <w:rStyle w:val="Hyperlink"/>
          </w:rPr>
          <w:t>https://doi.org/10.1029/2018GL077278</w:t>
        </w:r>
      </w:hyperlink>
      <w:r>
        <w:t>.</w:t>
      </w:r>
    </w:p>
    <w:p w14:paraId="400B34E5" w14:textId="51A15358" w:rsidR="00527D6B" w:rsidRDefault="00527D6B" w:rsidP="000A159F">
      <w:pPr>
        <w:ind w:left="360" w:hanging="360"/>
      </w:pPr>
      <w:proofErr w:type="spellStart"/>
      <w:r>
        <w:t>Yamagami</w:t>
      </w:r>
      <w:proofErr w:type="spellEnd"/>
      <w:r>
        <w:t xml:space="preserve">, A., M. </w:t>
      </w:r>
      <w:proofErr w:type="spellStart"/>
      <w:r>
        <w:t>Matsueda</w:t>
      </w:r>
      <w:proofErr w:type="spellEnd"/>
      <w:r>
        <w:t>, and H. L. Tanaka, 2019: Skill of med</w:t>
      </w:r>
      <w:r w:rsidR="00C040E8">
        <w:t>ium-range reforecast for summer</w:t>
      </w:r>
      <w:r>
        <w:t xml:space="preserve">time extraordinary Arctic cyclones in 1986–2016. </w:t>
      </w:r>
      <w:r w:rsidRPr="000218AC">
        <w:rPr>
          <w:i/>
        </w:rPr>
        <w:t>Polar Sci.</w:t>
      </w:r>
      <w:r>
        <w:t xml:space="preserve">, </w:t>
      </w:r>
      <w:r w:rsidRPr="000218AC">
        <w:rPr>
          <w:b/>
        </w:rPr>
        <w:t>20</w:t>
      </w:r>
      <w:r>
        <w:t xml:space="preserve">, 107–116, </w:t>
      </w:r>
      <w:hyperlink r:id="rId92" w:history="1">
        <w:r w:rsidR="000A159F" w:rsidRPr="00926B03">
          <w:rPr>
            <w:rStyle w:val="Hyperlink"/>
          </w:rPr>
          <w:t>https://doi.org/10.1016/j.polar.2019.02.003</w:t>
        </w:r>
      </w:hyperlink>
      <w:r>
        <w:t>.</w:t>
      </w:r>
    </w:p>
    <w:p w14:paraId="63CA9981" w14:textId="04D27CA0" w:rsidR="00476084" w:rsidRPr="00476084" w:rsidRDefault="00476084" w:rsidP="000A159F">
      <w:pPr>
        <w:ind w:left="360" w:hanging="360"/>
        <w:rPr>
          <w:color w:val="000000" w:themeColor="text1"/>
        </w:rPr>
      </w:pPr>
      <w:r w:rsidRPr="00F34A55">
        <w:rPr>
          <w:color w:val="000000" w:themeColor="text1"/>
        </w:rPr>
        <w:t xml:space="preserve">Yamazaki, A., J. Inoue, K. </w:t>
      </w:r>
      <w:proofErr w:type="spellStart"/>
      <w:r w:rsidRPr="00F34A55">
        <w:rPr>
          <w:color w:val="000000" w:themeColor="text1"/>
        </w:rPr>
        <w:t>Dethloff</w:t>
      </w:r>
      <w:proofErr w:type="spellEnd"/>
      <w:r w:rsidRPr="00F34A55">
        <w:rPr>
          <w:color w:val="000000" w:themeColor="text1"/>
        </w:rPr>
        <w:t xml:space="preserve">, M. </w:t>
      </w:r>
      <w:proofErr w:type="spellStart"/>
      <w:r w:rsidRPr="00F34A55">
        <w:rPr>
          <w:color w:val="000000" w:themeColor="text1"/>
        </w:rPr>
        <w:t>Maturilli</w:t>
      </w:r>
      <w:proofErr w:type="spellEnd"/>
      <w:r w:rsidRPr="00F34A55">
        <w:rPr>
          <w:color w:val="000000" w:themeColor="text1"/>
        </w:rPr>
        <w:t>, and G. König-</w:t>
      </w:r>
      <w:proofErr w:type="spellStart"/>
      <w:r w:rsidRPr="00F34A55">
        <w:rPr>
          <w:color w:val="000000" w:themeColor="text1"/>
        </w:rPr>
        <w:t>Langlo</w:t>
      </w:r>
      <w:proofErr w:type="spellEnd"/>
      <w:r w:rsidRPr="00F34A55">
        <w:rPr>
          <w:color w:val="000000" w:themeColor="text1"/>
        </w:rPr>
        <w:t xml:space="preserve">, 2015: Impact of radiosonde observations on forecasting summertime arctic cyclone formation. </w:t>
      </w:r>
      <w:r w:rsidRPr="00F34A55">
        <w:rPr>
          <w:i/>
          <w:color w:val="000000" w:themeColor="text1"/>
        </w:rPr>
        <w:t xml:space="preserve">J. </w:t>
      </w:r>
      <w:proofErr w:type="spellStart"/>
      <w:r w:rsidRPr="00F34A55">
        <w:rPr>
          <w:i/>
          <w:color w:val="000000" w:themeColor="text1"/>
        </w:rPr>
        <w:t>Geophys</w:t>
      </w:r>
      <w:proofErr w:type="spellEnd"/>
      <w:r w:rsidRPr="00F34A55">
        <w:rPr>
          <w:i/>
          <w:color w:val="000000" w:themeColor="text1"/>
        </w:rPr>
        <w:t>. Res. Atmos.</w:t>
      </w:r>
      <w:r w:rsidRPr="00F34A55">
        <w:rPr>
          <w:color w:val="000000" w:themeColor="text1"/>
        </w:rPr>
        <w:t xml:space="preserve">, </w:t>
      </w:r>
      <w:r w:rsidRPr="00F34A55">
        <w:rPr>
          <w:b/>
          <w:color w:val="000000" w:themeColor="text1"/>
        </w:rPr>
        <w:t>120</w:t>
      </w:r>
      <w:r w:rsidRPr="00F34A55">
        <w:rPr>
          <w:color w:val="000000" w:themeColor="text1"/>
        </w:rPr>
        <w:t>, 3249–3273,</w:t>
      </w:r>
      <w:r w:rsidRPr="00F34A55">
        <w:t xml:space="preserve"> </w:t>
      </w:r>
      <w:hyperlink r:id="rId93" w:history="1">
        <w:r w:rsidR="000A159F" w:rsidRPr="00926B03">
          <w:rPr>
            <w:rStyle w:val="Hyperlink"/>
          </w:rPr>
          <w:t>https://doi.org/10.1002/2014JD022925</w:t>
        </w:r>
      </w:hyperlink>
      <w:r w:rsidRPr="00F34A55">
        <w:rPr>
          <w:color w:val="000000" w:themeColor="text1"/>
        </w:rPr>
        <w:t>.</w:t>
      </w:r>
    </w:p>
    <w:p w14:paraId="6DA8D851" w14:textId="54A856BD" w:rsidR="00527D6B" w:rsidRDefault="00527D6B" w:rsidP="000A159F">
      <w:pPr>
        <w:ind w:left="360" w:hanging="360"/>
      </w:pPr>
      <w:r>
        <w:t xml:space="preserve">Zhang, F., C. Snyder, and R. </w:t>
      </w:r>
      <w:proofErr w:type="spellStart"/>
      <w:r>
        <w:t>Rotunno</w:t>
      </w:r>
      <w:proofErr w:type="spellEnd"/>
      <w:r>
        <w:t xml:space="preserve">, 2003: Effects of moist convection on mesoscale predictability. </w:t>
      </w:r>
      <w:r w:rsidRPr="000218AC">
        <w:rPr>
          <w:i/>
        </w:rPr>
        <w:t>J. Atmos. Sci.</w:t>
      </w:r>
      <w:r>
        <w:t xml:space="preserve">, </w:t>
      </w:r>
      <w:r w:rsidRPr="000218AC">
        <w:rPr>
          <w:b/>
        </w:rPr>
        <w:t>60</w:t>
      </w:r>
      <w:r>
        <w:t xml:space="preserve">, 1173–1185, </w:t>
      </w:r>
      <w:hyperlink r:id="rId94" w:history="1">
        <w:r w:rsidR="000A159F" w:rsidRPr="00926B03">
          <w:rPr>
            <w:rStyle w:val="Hyperlink"/>
          </w:rPr>
          <w:t>https://doi.org/10.1175/1520-0469(2003)060&lt;1173:EOMCOM&gt;2.0.CO;2</w:t>
        </w:r>
      </w:hyperlink>
      <w:r>
        <w:t>.</w:t>
      </w:r>
    </w:p>
    <w:p w14:paraId="5223DCF5" w14:textId="78591D56" w:rsidR="00527D6B" w:rsidRDefault="00527D6B" w:rsidP="000A159F">
      <w:pPr>
        <w:ind w:left="360" w:hanging="360"/>
      </w:pPr>
      <w:r>
        <w:t xml:space="preserve">Zhang, F., N. Bei, R. </w:t>
      </w:r>
      <w:proofErr w:type="spellStart"/>
      <w:r>
        <w:t>Rotunno</w:t>
      </w:r>
      <w:proofErr w:type="spellEnd"/>
      <w:r>
        <w:t xml:space="preserve">, C. Snyder, and C. C. Epifanio, 2007: Mesoscale predictability of moist baroclinic waves: Convection-permitting experiments and multistage error growth dynamics. </w:t>
      </w:r>
      <w:r w:rsidRPr="000218AC">
        <w:rPr>
          <w:i/>
        </w:rPr>
        <w:t>J. Atmos. Sci.</w:t>
      </w:r>
      <w:r>
        <w:t xml:space="preserve">, </w:t>
      </w:r>
      <w:r w:rsidRPr="000218AC">
        <w:rPr>
          <w:b/>
        </w:rPr>
        <w:t>64</w:t>
      </w:r>
      <w:r>
        <w:t xml:space="preserve">, 3579–3594, </w:t>
      </w:r>
      <w:hyperlink r:id="rId95" w:history="1">
        <w:r w:rsidR="000A159F" w:rsidRPr="00926B03">
          <w:rPr>
            <w:rStyle w:val="Hyperlink"/>
          </w:rPr>
          <w:t>https://doi.org/10.1175/JAS4028.1</w:t>
        </w:r>
      </w:hyperlink>
      <w:r>
        <w:t>.</w:t>
      </w:r>
    </w:p>
    <w:p w14:paraId="690B7591" w14:textId="6CABBC75" w:rsidR="00527D6B" w:rsidRDefault="00527D6B" w:rsidP="000A159F">
      <w:pPr>
        <w:ind w:left="360" w:hanging="360"/>
      </w:pPr>
      <w:r>
        <w:t xml:space="preserve">Zhang, J., R. Lindsay, A. Schweiger, and M. Steele, 2013: The impact of an intense summer cyclone on 2012 Arctic sea ice retreat. </w:t>
      </w:r>
      <w:proofErr w:type="spellStart"/>
      <w:r w:rsidRPr="000218AC">
        <w:rPr>
          <w:i/>
        </w:rPr>
        <w:t>Geophys</w:t>
      </w:r>
      <w:proofErr w:type="spellEnd"/>
      <w:r w:rsidRPr="000218AC">
        <w:rPr>
          <w:i/>
        </w:rPr>
        <w:t>. Res. Lett.</w:t>
      </w:r>
      <w:r>
        <w:t xml:space="preserve">, </w:t>
      </w:r>
      <w:r w:rsidRPr="000218AC">
        <w:rPr>
          <w:b/>
        </w:rPr>
        <w:t>40</w:t>
      </w:r>
      <w:r>
        <w:t xml:space="preserve">, 720–726, </w:t>
      </w:r>
      <w:hyperlink r:id="rId96" w:history="1">
        <w:r w:rsidR="000A159F" w:rsidRPr="00926B03">
          <w:rPr>
            <w:rStyle w:val="Hyperlink"/>
          </w:rPr>
          <w:t>https://doi.org/10.1002/grl.50190</w:t>
        </w:r>
      </w:hyperlink>
      <w:r>
        <w:t>.</w:t>
      </w:r>
    </w:p>
    <w:p w14:paraId="2622EC53" w14:textId="616E03C8" w:rsidR="006C30E3" w:rsidRDefault="006C30E3" w:rsidP="000A159F">
      <w:pPr>
        <w:ind w:left="360" w:hanging="360"/>
      </w:pPr>
      <w:r w:rsidRPr="00F34A55">
        <w:t xml:space="preserve">Zhang, X., J. E. Walsh, J. Zhang, U. S. Bhatt, and M. Ikeda, 2004: Climatology and interannual variability of Arctic cyclone activity: 1948–2002. </w:t>
      </w:r>
      <w:r w:rsidRPr="00F34A55">
        <w:rPr>
          <w:i/>
        </w:rPr>
        <w:t>J. Climate</w:t>
      </w:r>
      <w:r w:rsidRPr="00F34A55">
        <w:t xml:space="preserve">, </w:t>
      </w:r>
      <w:r w:rsidRPr="00F34A55">
        <w:rPr>
          <w:b/>
        </w:rPr>
        <w:t>17</w:t>
      </w:r>
      <w:r w:rsidRPr="00F34A55">
        <w:t xml:space="preserve">, 2300–2317, </w:t>
      </w:r>
      <w:hyperlink r:id="rId97" w:history="1">
        <w:r w:rsidR="000A159F" w:rsidRPr="00926B03">
          <w:rPr>
            <w:rStyle w:val="Hyperlink"/>
          </w:rPr>
          <w:t>https://doi.org/10.1175/1520-0442(2004)017&lt;2300:CAIVOA&gt;2.0.CO;2</w:t>
        </w:r>
      </w:hyperlink>
      <w:r w:rsidRPr="00F34A55">
        <w:t>.</w:t>
      </w:r>
    </w:p>
    <w:p w14:paraId="17BBEA5C" w14:textId="15FF32E7" w:rsidR="00D96778" w:rsidRDefault="00D96778" w:rsidP="000A159F">
      <w:pPr>
        <w:ind w:left="360" w:hanging="360"/>
      </w:pPr>
      <w:r>
        <w:t xml:space="preserve">Zheng, M., E. K. M. Chang, and B. A. Colle, 2013: Ensemble sensitivity tools for assessing extratropical cyclone intensity and track predictability. </w:t>
      </w:r>
      <w:r w:rsidRPr="00D96778">
        <w:rPr>
          <w:i/>
        </w:rPr>
        <w:t>Wea. Forecasting</w:t>
      </w:r>
      <w:r>
        <w:t xml:space="preserve">, </w:t>
      </w:r>
      <w:r w:rsidRPr="00D96778">
        <w:rPr>
          <w:b/>
        </w:rPr>
        <w:t>28</w:t>
      </w:r>
      <w:r>
        <w:t xml:space="preserve">, 1133–1156, </w:t>
      </w:r>
      <w:hyperlink r:id="rId98" w:history="1">
        <w:r w:rsidR="000A159F" w:rsidRPr="00926B03">
          <w:rPr>
            <w:rStyle w:val="Hyperlink"/>
          </w:rPr>
          <w:t>https://doi.org/10.1175/WAF-D-12-00132.1</w:t>
        </w:r>
      </w:hyperlink>
      <w:r>
        <w:t>.</w:t>
      </w:r>
    </w:p>
    <w:p w14:paraId="6DACF954" w14:textId="1D87BB67" w:rsidR="00527D6B" w:rsidRDefault="00527D6B" w:rsidP="000A159F">
      <w:pPr>
        <w:ind w:left="360" w:hanging="360"/>
      </w:pPr>
      <w:r>
        <w:t xml:space="preserve">Zhu, H., and A. Thorpe, 2006: Predictability of extratropical cyclones: The influence of initial condition and model uncertainties. </w:t>
      </w:r>
      <w:r w:rsidRPr="000218AC">
        <w:rPr>
          <w:i/>
        </w:rPr>
        <w:t>J. Atmos. Sci.</w:t>
      </w:r>
      <w:r>
        <w:t xml:space="preserve">, </w:t>
      </w:r>
      <w:r w:rsidRPr="000218AC">
        <w:rPr>
          <w:b/>
        </w:rPr>
        <w:t>63</w:t>
      </w:r>
      <w:r>
        <w:t xml:space="preserve">, 1483–1497, </w:t>
      </w:r>
      <w:hyperlink r:id="rId99" w:history="1">
        <w:r w:rsidR="000A159F" w:rsidRPr="00926B03">
          <w:rPr>
            <w:rStyle w:val="Hyperlink"/>
          </w:rPr>
          <w:t>https://doi.org/10.1175/JAS3688.1</w:t>
        </w:r>
      </w:hyperlink>
      <w:r>
        <w:t>.</w:t>
      </w:r>
    </w:p>
    <w:p w14:paraId="69D22991" w14:textId="5C484002" w:rsidR="00291D43" w:rsidRDefault="00291D43" w:rsidP="006E19A6"/>
    <w:p w14:paraId="2E195636" w14:textId="77777777" w:rsidR="00DF6403" w:rsidRDefault="00DF6403" w:rsidP="006E19A6"/>
    <w:p w14:paraId="79E3A4D3" w14:textId="77777777" w:rsidR="00DF6403" w:rsidRPr="00DF6403" w:rsidRDefault="00DF6403" w:rsidP="00DF6403">
      <w:pPr>
        <w:spacing w:line="240" w:lineRule="auto"/>
        <w:ind w:firstLine="0"/>
      </w:pPr>
    </w:p>
    <w:sectPr w:rsidR="00DF6403" w:rsidRPr="00DF6403" w:rsidSect="00531A0B">
      <w:headerReference w:type="even" r:id="rId100"/>
      <w:footerReference w:type="even" r:id="rId101"/>
      <w:footerReference w:type="default" r:id="rId102"/>
      <w:headerReference w:type="first" r:id="rId103"/>
      <w:footerReference w:type="first" r:id="rId104"/>
      <w:pgSz w:w="11906" w:h="16838"/>
      <w:pgMar w:top="1440" w:right="1440" w:bottom="1440" w:left="1440" w:header="706" w:footer="706"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631395" w14:textId="77777777" w:rsidR="0003274C" w:rsidRDefault="0003274C" w:rsidP="00BE02FD">
      <w:r>
        <w:separator/>
      </w:r>
    </w:p>
    <w:p w14:paraId="12F307C9" w14:textId="77777777" w:rsidR="0003274C" w:rsidRDefault="0003274C" w:rsidP="00BE02FD"/>
    <w:p w14:paraId="107E5688" w14:textId="77777777" w:rsidR="0003274C" w:rsidRDefault="0003274C"/>
  </w:endnote>
  <w:endnote w:type="continuationSeparator" w:id="0">
    <w:p w14:paraId="413F40C2" w14:textId="77777777" w:rsidR="0003274C" w:rsidRDefault="0003274C" w:rsidP="00BE02FD">
      <w:r>
        <w:continuationSeparator/>
      </w:r>
    </w:p>
    <w:p w14:paraId="32A42439" w14:textId="77777777" w:rsidR="0003274C" w:rsidRDefault="0003274C" w:rsidP="00BE02FD"/>
    <w:p w14:paraId="5E0E7F10" w14:textId="77777777" w:rsidR="0003274C" w:rsidRDefault="000327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BDC75" w14:textId="77777777" w:rsidR="00CE4125" w:rsidRPr="004E1E6F" w:rsidRDefault="00CE4125" w:rsidP="00BE02FD">
    <w:r>
      <w:t xml:space="preserve">Page </w:t>
    </w:r>
    <w:r>
      <w:fldChar w:fldCharType="begin"/>
    </w:r>
    <w:r>
      <w:instrText xml:space="preserve"> PAGE  \* MERGEFORMAT </w:instrText>
    </w:r>
    <w:r>
      <w:fldChar w:fldCharType="separate"/>
    </w:r>
    <w:r>
      <w:rPr>
        <w:noProof/>
      </w:rPr>
      <w:t>24</w:t>
    </w:r>
    <w:r>
      <w:fldChar w:fldCharType="end"/>
    </w:r>
    <w:r>
      <w:t xml:space="preserve"> of </w:t>
    </w:r>
    <w:fldSimple w:instr=" NUMPAGES  \* MERGEFORMAT ">
      <w:r>
        <w:rPr>
          <w:noProof/>
        </w:rPr>
        <w:t>24</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9836544"/>
      <w:docPartObj>
        <w:docPartGallery w:val="Page Numbers (Bottom of Page)"/>
        <w:docPartUnique/>
      </w:docPartObj>
    </w:sdtPr>
    <w:sdtEndPr>
      <w:rPr>
        <w:noProof/>
      </w:rPr>
    </w:sdtEndPr>
    <w:sdtContent>
      <w:p w14:paraId="7A7172F3" w14:textId="262C9936" w:rsidR="00CE4125" w:rsidRPr="00AB5C37" w:rsidRDefault="00CE4125" w:rsidP="00F12980">
        <w:pPr>
          <w:pStyle w:val="Footer"/>
          <w:jc w:val="right"/>
        </w:pPr>
        <w:r w:rsidRPr="00AB5C37">
          <w:fldChar w:fldCharType="begin"/>
        </w:r>
        <w:r w:rsidRPr="00AB5C37">
          <w:instrText xml:space="preserve"> PAGE   \* MERGEFORMAT </w:instrText>
        </w:r>
        <w:r w:rsidRPr="00AB5C37">
          <w:fldChar w:fldCharType="separate"/>
        </w:r>
        <w:r w:rsidR="002F01FB">
          <w:rPr>
            <w:noProof/>
          </w:rPr>
          <w:t>1</w:t>
        </w:r>
        <w:r w:rsidRPr="00AB5C37">
          <w:rPr>
            <w:noProof/>
          </w:rPr>
          <w:fldChar w:fldCharType="end"/>
        </w:r>
      </w:p>
    </w:sdtContent>
  </w:sdt>
  <w:p w14:paraId="31747F60" w14:textId="61273928" w:rsidR="00CE4125" w:rsidRPr="004E1E6F" w:rsidRDefault="00CE4125" w:rsidP="00043411">
    <w:pPr>
      <w:ind w:firstLine="0"/>
    </w:pPr>
    <w:r w:rsidRPr="00AB5C37">
      <w:t xml:space="preserve">File generated with AMS Word template </w:t>
    </w:r>
    <w:r>
      <w:t>2</w:t>
    </w:r>
    <w:r w:rsidRPr="00AB5C37">
      <w:t>.0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19E48" w14:textId="77777777" w:rsidR="00CE4125" w:rsidRPr="004E1E6F" w:rsidRDefault="00CE4125" w:rsidP="00BE02FD">
    <w:r>
      <w:t xml:space="preserve">Page </w:t>
    </w:r>
    <w:r>
      <w:fldChar w:fldCharType="begin"/>
    </w:r>
    <w:r>
      <w:instrText xml:space="preserve"> PAGE  \* MERGEFORMAT </w:instrText>
    </w:r>
    <w:r>
      <w:fldChar w:fldCharType="separate"/>
    </w:r>
    <w:r>
      <w:rPr>
        <w:noProof/>
      </w:rPr>
      <w:t>24</w:t>
    </w:r>
    <w:r>
      <w:fldChar w:fldCharType="end"/>
    </w:r>
    <w:r>
      <w:t xml:space="preserve"> of </w:t>
    </w:r>
    <w:fldSimple w:instr=" NUMPAGES  \* MERGEFORMAT ">
      <w:r>
        <w:rPr>
          <w:noProof/>
        </w:rPr>
        <w:t>24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88F59E" w14:textId="77777777" w:rsidR="0003274C" w:rsidRDefault="0003274C" w:rsidP="00BE02FD">
      <w:r>
        <w:separator/>
      </w:r>
    </w:p>
    <w:p w14:paraId="77438982" w14:textId="77777777" w:rsidR="0003274C" w:rsidRDefault="0003274C" w:rsidP="00BE02FD"/>
    <w:p w14:paraId="74FF3BA1" w14:textId="77777777" w:rsidR="0003274C" w:rsidRDefault="0003274C"/>
  </w:footnote>
  <w:footnote w:type="continuationSeparator" w:id="0">
    <w:p w14:paraId="4B49C02F" w14:textId="77777777" w:rsidR="0003274C" w:rsidRDefault="0003274C" w:rsidP="00BE02FD">
      <w:r>
        <w:continuationSeparator/>
      </w:r>
    </w:p>
    <w:p w14:paraId="675EAA9B" w14:textId="77777777" w:rsidR="0003274C" w:rsidRDefault="0003274C" w:rsidP="00BE02FD"/>
    <w:p w14:paraId="35C3ECDA" w14:textId="77777777" w:rsidR="0003274C" w:rsidRDefault="0003274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3F4CF" w14:textId="77777777" w:rsidR="00CE4125" w:rsidRPr="004E1E6F" w:rsidRDefault="00CE4125" w:rsidP="00BE02FD">
    <w:r w:rsidRPr="004E1E6F">
      <w:t xml:space="preserve">Publisher: AMS; Journal: </w:t>
    </w:r>
    <w:proofErr w:type="spellStart"/>
    <w:proofErr w:type="gramStart"/>
    <w:r w:rsidRPr="004E1E6F">
      <w:t>WAF:Weather</w:t>
    </w:r>
    <w:proofErr w:type="spellEnd"/>
    <w:proofErr w:type="gramEnd"/>
    <w:r w:rsidRPr="004E1E6F">
      <w:t xml:space="preserve"> and Forecasting</w:t>
    </w:r>
  </w:p>
  <w:p w14:paraId="26737EEB" w14:textId="77777777" w:rsidR="00CE4125" w:rsidRPr="004E1E6F" w:rsidRDefault="00CE4125" w:rsidP="00BE02FD">
    <w:r w:rsidRPr="004E1E6F">
      <w:t xml:space="preserve"> Job#: 0; Volume: 00; Issue: 0; Art#: D190061; Prod#</w:t>
    </w:r>
    <w:proofErr w:type="gramStart"/>
    <w:r w:rsidRPr="004E1E6F">
      <w:t>: ;</w:t>
    </w:r>
    <w:proofErr w:type="gramEnd"/>
  </w:p>
  <w:p w14:paraId="37D8CF6B" w14:textId="77777777" w:rsidR="00CE4125" w:rsidRPr="004E1E6F" w:rsidRDefault="00CE4125" w:rsidP="00BE02FD">
    <w:r w:rsidRPr="004E1E6F">
      <w:t xml:space="preserve"> Month</w:t>
    </w:r>
    <w:proofErr w:type="gramStart"/>
    <w:r w:rsidRPr="004E1E6F">
      <w:t>: ;</w:t>
    </w:r>
    <w:proofErr w:type="gramEnd"/>
    <w:r w:rsidRPr="004E1E6F">
      <w:t xml:space="preserve"> Year: ; Section Head: ; </w:t>
    </w:r>
    <w:proofErr w:type="spellStart"/>
    <w:r w:rsidRPr="004E1E6F">
      <w:t>CopyHold</w:t>
    </w:r>
    <w:proofErr w:type="spellEnd"/>
    <w:r w:rsidRPr="004E1E6F">
      <w:t>: Publisher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FA980" w14:textId="77777777" w:rsidR="00CE4125" w:rsidRPr="004E1E6F" w:rsidRDefault="00CE4125" w:rsidP="00BE02FD">
    <w:r w:rsidRPr="004E1E6F">
      <w:t xml:space="preserve">Publisher: AMS; Journal: </w:t>
    </w:r>
    <w:proofErr w:type="spellStart"/>
    <w:proofErr w:type="gramStart"/>
    <w:r w:rsidRPr="004E1E6F">
      <w:t>WAF:Weather</w:t>
    </w:r>
    <w:proofErr w:type="spellEnd"/>
    <w:proofErr w:type="gramEnd"/>
    <w:r w:rsidRPr="004E1E6F">
      <w:t xml:space="preserve"> and Forecasting</w:t>
    </w:r>
  </w:p>
  <w:p w14:paraId="09E646E8" w14:textId="77777777" w:rsidR="00CE4125" w:rsidRPr="004E1E6F" w:rsidRDefault="00CE4125" w:rsidP="00BE02FD">
    <w:r w:rsidRPr="004E1E6F">
      <w:t xml:space="preserve"> Job#: 0; Volume: 00; Issue: 0; Art#: D190061; Prod#</w:t>
    </w:r>
    <w:proofErr w:type="gramStart"/>
    <w:r w:rsidRPr="004E1E6F">
      <w:t>: ;</w:t>
    </w:r>
    <w:proofErr w:type="gramEnd"/>
  </w:p>
  <w:p w14:paraId="623AD69F" w14:textId="77777777" w:rsidR="00CE4125" w:rsidRPr="004E1E6F" w:rsidRDefault="00CE4125" w:rsidP="00BE02FD">
    <w:r w:rsidRPr="004E1E6F">
      <w:t xml:space="preserve"> Month</w:t>
    </w:r>
    <w:proofErr w:type="gramStart"/>
    <w:r w:rsidRPr="004E1E6F">
      <w:t>: ;</w:t>
    </w:r>
    <w:proofErr w:type="gramEnd"/>
    <w:r w:rsidRPr="004E1E6F">
      <w:t xml:space="preserve"> Year: ; Section Head: ; </w:t>
    </w:r>
    <w:proofErr w:type="spellStart"/>
    <w:r w:rsidRPr="004E1E6F">
      <w:t>CopyHold</w:t>
    </w:r>
    <w:proofErr w:type="spellEnd"/>
    <w:r w:rsidRPr="004E1E6F">
      <w:t>: Publisher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5D6EDB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E8A149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86A427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E8402E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8E18971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4B8D86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522CB6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B16CD0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9E664E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056A5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0205B65"/>
    <w:multiLevelType w:val="hybridMultilevel"/>
    <w:tmpl w:val="B03C649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AB41682"/>
    <w:multiLevelType w:val="singleLevel"/>
    <w:tmpl w:val="A316F0CC"/>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25CA7786"/>
    <w:multiLevelType w:val="singleLevel"/>
    <w:tmpl w:val="103E59D8"/>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411869BF"/>
    <w:multiLevelType w:val="multilevel"/>
    <w:tmpl w:val="922C0B6C"/>
    <w:lvl w:ilvl="0">
      <w:start w:val="1"/>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4" w15:restartNumberingAfterBreak="0">
    <w:nsid w:val="472A6623"/>
    <w:multiLevelType w:val="singleLevel"/>
    <w:tmpl w:val="530C55E2"/>
    <w:lvl w:ilvl="0">
      <w:start w:val="1"/>
      <w:numFmt w:val="decimal"/>
      <w:lvlText w:val="[%1]"/>
      <w:lvlJc w:val="left"/>
      <w:pPr>
        <w:tabs>
          <w:tab w:val="num" w:pos="360"/>
        </w:tabs>
        <w:ind w:left="360" w:hanging="360"/>
      </w:pPr>
    </w:lvl>
  </w:abstractNum>
  <w:abstractNum w:abstractNumId="15" w15:restartNumberingAfterBreak="0">
    <w:nsid w:val="4FFC4E2E"/>
    <w:multiLevelType w:val="multilevel"/>
    <w:tmpl w:val="35160D6E"/>
    <w:lvl w:ilvl="0">
      <w:start w:val="1"/>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decimal"/>
      <w:lvlText w:val="%3)"/>
      <w:lvlJc w:val="left"/>
      <w:pPr>
        <w:ind w:left="0" w:firstLine="0"/>
      </w:pPr>
      <w:rPr>
        <w:rFonts w:hint="default"/>
      </w:rPr>
    </w:lvl>
    <w:lvl w:ilvl="3">
      <w:start w:val="1"/>
      <w:numFmt w:val="lowerRoman"/>
      <w:lvlText w:val="(%4)"/>
      <w:lvlJc w:val="left"/>
      <w:pPr>
        <w:ind w:left="1512" w:hanging="43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34D68EA"/>
    <w:multiLevelType w:val="hybridMultilevel"/>
    <w:tmpl w:val="A260C9FC"/>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D6E1C8B"/>
    <w:multiLevelType w:val="singleLevel"/>
    <w:tmpl w:val="9B661448"/>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6CE54F4C"/>
    <w:multiLevelType w:val="multilevel"/>
    <w:tmpl w:val="9AAE74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5116A5F"/>
    <w:multiLevelType w:val="hybridMultilevel"/>
    <w:tmpl w:val="0DB8A1F2"/>
    <w:lvl w:ilvl="0" w:tplc="41E8D5C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051079008">
    <w:abstractNumId w:val="18"/>
  </w:num>
  <w:num w:numId="2" w16cid:durableId="1897816075">
    <w:abstractNumId w:val="13"/>
  </w:num>
  <w:num w:numId="3" w16cid:durableId="1134832234">
    <w:abstractNumId w:val="10"/>
  </w:num>
  <w:num w:numId="4" w16cid:durableId="1764034994">
    <w:abstractNumId w:val="16"/>
  </w:num>
  <w:num w:numId="5" w16cid:durableId="1134640045">
    <w:abstractNumId w:val="19"/>
  </w:num>
  <w:num w:numId="6" w16cid:durableId="903025519">
    <w:abstractNumId w:val="12"/>
  </w:num>
  <w:num w:numId="7" w16cid:durableId="1498576371">
    <w:abstractNumId w:val="14"/>
  </w:num>
  <w:num w:numId="8" w16cid:durableId="382758723">
    <w:abstractNumId w:val="17"/>
  </w:num>
  <w:num w:numId="9" w16cid:durableId="1721974737">
    <w:abstractNumId w:val="11"/>
  </w:num>
  <w:num w:numId="10" w16cid:durableId="629434331">
    <w:abstractNumId w:val="9"/>
  </w:num>
  <w:num w:numId="11" w16cid:durableId="322705957">
    <w:abstractNumId w:val="7"/>
  </w:num>
  <w:num w:numId="12" w16cid:durableId="247858068">
    <w:abstractNumId w:val="6"/>
  </w:num>
  <w:num w:numId="13" w16cid:durableId="3168529">
    <w:abstractNumId w:val="5"/>
  </w:num>
  <w:num w:numId="14" w16cid:durableId="1058044133">
    <w:abstractNumId w:val="4"/>
  </w:num>
  <w:num w:numId="15" w16cid:durableId="626275051">
    <w:abstractNumId w:val="8"/>
  </w:num>
  <w:num w:numId="16" w16cid:durableId="77602446">
    <w:abstractNumId w:val="3"/>
  </w:num>
  <w:num w:numId="17" w16cid:durableId="1756777641">
    <w:abstractNumId w:val="2"/>
  </w:num>
  <w:num w:numId="18" w16cid:durableId="1086728214">
    <w:abstractNumId w:val="1"/>
  </w:num>
  <w:num w:numId="19" w16cid:durableId="1110397861">
    <w:abstractNumId w:val="0"/>
  </w:num>
  <w:num w:numId="20" w16cid:durableId="77282501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3"/>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MS" w:val="1"/>
    <w:docVar w:name="AutoRedact State" w:val="ready"/>
    <w:docVar w:name="CopyHold" w:val="Publisher"/>
    <w:docVar w:name="docstruct" w:val="1"/>
    <w:docVar w:name="DOI" w:val="10.1175/WAF-D-19-0061.1"/>
    <w:docVar w:name="ex_AddedHTMLPreformat" w:val="Courier New"/>
    <w:docVar w:name="ex_AutoRedact" w:val="APComplete"/>
    <w:docVar w:name="ex_Citations" w:val="APComplete"/>
    <w:docVar w:name="ex_CleanUp" w:val="CleanUpComplete"/>
    <w:docVar w:name="ex_CrossRef" w:val="APComplete"/>
    <w:docVar w:name="eX_DocInfoLastUpdatedDate" w:val="44015.3731828704"/>
    <w:docVar w:name="ex_eXtylesBuild" w:val="4011"/>
    <w:docVar w:name="ex_FontAudit" w:val="APComplete"/>
    <w:docVar w:name="ex_HighlightGraphics" w:val="APComplete"/>
    <w:docVar w:name="ex_ParseBib" w:val="APComplete"/>
    <w:docVar w:name="ex_SortRefsCell" w:val="APComplete"/>
    <w:docVar w:name="ex_WordVersion" w:val="14.0"/>
    <w:docVar w:name="eXtyles" w:val="active"/>
    <w:docVar w:name="ExtylesTagDescriptors" w:val="Blind Text|BLIND|Case|CASE|City|CTY|Collaboration|collab|Country|CNY|Degree(s)|degs|First Name|fnm|Genbank|GENBANK|Inline Equation|EQ|Role|roles|Skip|SKIP|Surname|snm|"/>
    <w:docVar w:name="Footnote Mode By Section" w:val="NO"/>
    <w:docVar w:name="iceJABR" w:val="WAF"/>
    <w:docVar w:name="iceJournal" w:val="WAF:Weather and Forecasting"/>
    <w:docVar w:name="iceJournalName" w:val="Weather and Forecasting"/>
    <w:docVar w:name="icePublisher" w:val="AMS"/>
    <w:docVar w:name="iceType" w:val="ARTICLES"/>
    <w:docVar w:name="Issue" w:val="0"/>
    <w:docVar w:name="JobNo" w:val="0"/>
    <w:docVar w:name="Manuscript" w:val="D190061"/>
    <w:docVar w:name="PreEdit Up-Front Loss" w:val="complete"/>
    <w:docVar w:name="prep" w:val="1"/>
    <w:docVar w:name="prepinitialize" w:val="1"/>
    <w:docVar w:name="stylechecker" w:val="1"/>
    <w:docVar w:name="table" w:val="1"/>
    <w:docVar w:name="tablenested" w:val="1"/>
    <w:docVar w:name="VERSION" w:val="5.38"/>
    <w:docVar w:name="Volume" w:val="00"/>
  </w:docVars>
  <w:rsids>
    <w:rsidRoot w:val="000B3D57"/>
    <w:rsid w:val="00000FE6"/>
    <w:rsid w:val="000010D2"/>
    <w:rsid w:val="0000146A"/>
    <w:rsid w:val="0000390D"/>
    <w:rsid w:val="00003A71"/>
    <w:rsid w:val="0000628E"/>
    <w:rsid w:val="00006819"/>
    <w:rsid w:val="00007712"/>
    <w:rsid w:val="000102AE"/>
    <w:rsid w:val="0001054C"/>
    <w:rsid w:val="0001235B"/>
    <w:rsid w:val="00013138"/>
    <w:rsid w:val="00013AA9"/>
    <w:rsid w:val="000140CA"/>
    <w:rsid w:val="000153B6"/>
    <w:rsid w:val="00015648"/>
    <w:rsid w:val="00015876"/>
    <w:rsid w:val="000160E4"/>
    <w:rsid w:val="00017F08"/>
    <w:rsid w:val="00020349"/>
    <w:rsid w:val="00020B33"/>
    <w:rsid w:val="000218AC"/>
    <w:rsid w:val="00021AD0"/>
    <w:rsid w:val="00021BE9"/>
    <w:rsid w:val="00021BEF"/>
    <w:rsid w:val="0002242A"/>
    <w:rsid w:val="00022E9D"/>
    <w:rsid w:val="00024949"/>
    <w:rsid w:val="00024E6B"/>
    <w:rsid w:val="00027677"/>
    <w:rsid w:val="000277CE"/>
    <w:rsid w:val="00027C5B"/>
    <w:rsid w:val="00027DD6"/>
    <w:rsid w:val="00030E71"/>
    <w:rsid w:val="0003105F"/>
    <w:rsid w:val="0003274C"/>
    <w:rsid w:val="0003447F"/>
    <w:rsid w:val="000363DA"/>
    <w:rsid w:val="00036B29"/>
    <w:rsid w:val="000372C3"/>
    <w:rsid w:val="000409FF"/>
    <w:rsid w:val="00042284"/>
    <w:rsid w:val="00043113"/>
    <w:rsid w:val="00043411"/>
    <w:rsid w:val="000442E9"/>
    <w:rsid w:val="00044F02"/>
    <w:rsid w:val="0004613E"/>
    <w:rsid w:val="000501BE"/>
    <w:rsid w:val="0005126C"/>
    <w:rsid w:val="00052411"/>
    <w:rsid w:val="00054486"/>
    <w:rsid w:val="00054CC9"/>
    <w:rsid w:val="00055E56"/>
    <w:rsid w:val="0005651E"/>
    <w:rsid w:val="0006182F"/>
    <w:rsid w:val="00062180"/>
    <w:rsid w:val="00062599"/>
    <w:rsid w:val="00063BDC"/>
    <w:rsid w:val="00064448"/>
    <w:rsid w:val="00065249"/>
    <w:rsid w:val="000657FC"/>
    <w:rsid w:val="00066B74"/>
    <w:rsid w:val="00066BA5"/>
    <w:rsid w:val="00067348"/>
    <w:rsid w:val="00070CFD"/>
    <w:rsid w:val="00070D48"/>
    <w:rsid w:val="000723E2"/>
    <w:rsid w:val="0007321B"/>
    <w:rsid w:val="00073428"/>
    <w:rsid w:val="000759D3"/>
    <w:rsid w:val="0008085F"/>
    <w:rsid w:val="00081B2A"/>
    <w:rsid w:val="000832F2"/>
    <w:rsid w:val="00083772"/>
    <w:rsid w:val="00085505"/>
    <w:rsid w:val="0008599B"/>
    <w:rsid w:val="000860D8"/>
    <w:rsid w:val="0008767B"/>
    <w:rsid w:val="0009025E"/>
    <w:rsid w:val="00090747"/>
    <w:rsid w:val="00096CF8"/>
    <w:rsid w:val="000974CD"/>
    <w:rsid w:val="00097AD0"/>
    <w:rsid w:val="000A013D"/>
    <w:rsid w:val="000A159F"/>
    <w:rsid w:val="000A1733"/>
    <w:rsid w:val="000A28E8"/>
    <w:rsid w:val="000A29C0"/>
    <w:rsid w:val="000A323F"/>
    <w:rsid w:val="000A4F70"/>
    <w:rsid w:val="000A61E0"/>
    <w:rsid w:val="000A6811"/>
    <w:rsid w:val="000A7FF5"/>
    <w:rsid w:val="000B1947"/>
    <w:rsid w:val="000B3D57"/>
    <w:rsid w:val="000B3EAC"/>
    <w:rsid w:val="000B3F5C"/>
    <w:rsid w:val="000B4055"/>
    <w:rsid w:val="000C1FF8"/>
    <w:rsid w:val="000C283E"/>
    <w:rsid w:val="000C2DC3"/>
    <w:rsid w:val="000C31BA"/>
    <w:rsid w:val="000C3472"/>
    <w:rsid w:val="000C5DB9"/>
    <w:rsid w:val="000C6419"/>
    <w:rsid w:val="000D05A6"/>
    <w:rsid w:val="000D2D3B"/>
    <w:rsid w:val="000D345D"/>
    <w:rsid w:val="000D3AE4"/>
    <w:rsid w:val="000D4613"/>
    <w:rsid w:val="000D631F"/>
    <w:rsid w:val="000D6820"/>
    <w:rsid w:val="000D6FE3"/>
    <w:rsid w:val="000D73D0"/>
    <w:rsid w:val="000D777D"/>
    <w:rsid w:val="000E02D6"/>
    <w:rsid w:val="000E07EB"/>
    <w:rsid w:val="000E092C"/>
    <w:rsid w:val="000E14AB"/>
    <w:rsid w:val="000E1556"/>
    <w:rsid w:val="000E1593"/>
    <w:rsid w:val="000E1E66"/>
    <w:rsid w:val="000E2B3C"/>
    <w:rsid w:val="000E4744"/>
    <w:rsid w:val="000E4BA7"/>
    <w:rsid w:val="000E5149"/>
    <w:rsid w:val="000E74AA"/>
    <w:rsid w:val="000F258C"/>
    <w:rsid w:val="000F362D"/>
    <w:rsid w:val="000F3B63"/>
    <w:rsid w:val="000F5514"/>
    <w:rsid w:val="000F66DF"/>
    <w:rsid w:val="000F7A68"/>
    <w:rsid w:val="001000E4"/>
    <w:rsid w:val="001002E2"/>
    <w:rsid w:val="00101923"/>
    <w:rsid w:val="0010316E"/>
    <w:rsid w:val="0010364D"/>
    <w:rsid w:val="001049E2"/>
    <w:rsid w:val="0010727A"/>
    <w:rsid w:val="001116C2"/>
    <w:rsid w:val="0011292C"/>
    <w:rsid w:val="001133E5"/>
    <w:rsid w:val="00114EA8"/>
    <w:rsid w:val="001171DF"/>
    <w:rsid w:val="001179DD"/>
    <w:rsid w:val="00117EA5"/>
    <w:rsid w:val="00121ABA"/>
    <w:rsid w:val="00121E75"/>
    <w:rsid w:val="0012230E"/>
    <w:rsid w:val="001230C8"/>
    <w:rsid w:val="00125ABA"/>
    <w:rsid w:val="0012606A"/>
    <w:rsid w:val="001260D4"/>
    <w:rsid w:val="00126652"/>
    <w:rsid w:val="001324A6"/>
    <w:rsid w:val="00132C3C"/>
    <w:rsid w:val="00133202"/>
    <w:rsid w:val="0013369A"/>
    <w:rsid w:val="00134AC7"/>
    <w:rsid w:val="00135C78"/>
    <w:rsid w:val="001362C2"/>
    <w:rsid w:val="001369F5"/>
    <w:rsid w:val="0014458A"/>
    <w:rsid w:val="00144AA7"/>
    <w:rsid w:val="00145067"/>
    <w:rsid w:val="00145103"/>
    <w:rsid w:val="00147C30"/>
    <w:rsid w:val="00152809"/>
    <w:rsid w:val="00152F4F"/>
    <w:rsid w:val="00154EEF"/>
    <w:rsid w:val="00155D9A"/>
    <w:rsid w:val="00160AFF"/>
    <w:rsid w:val="00160C6D"/>
    <w:rsid w:val="00160CAE"/>
    <w:rsid w:val="00160FC2"/>
    <w:rsid w:val="00161D03"/>
    <w:rsid w:val="00162B3A"/>
    <w:rsid w:val="00163F86"/>
    <w:rsid w:val="001648F8"/>
    <w:rsid w:val="00165099"/>
    <w:rsid w:val="001652CE"/>
    <w:rsid w:val="001655E2"/>
    <w:rsid w:val="001660BC"/>
    <w:rsid w:val="00170A72"/>
    <w:rsid w:val="00172B1E"/>
    <w:rsid w:val="00173011"/>
    <w:rsid w:val="001737FA"/>
    <w:rsid w:val="0017516D"/>
    <w:rsid w:val="00175A37"/>
    <w:rsid w:val="00176C6F"/>
    <w:rsid w:val="00177B72"/>
    <w:rsid w:val="0018117C"/>
    <w:rsid w:val="00182E51"/>
    <w:rsid w:val="00182E7B"/>
    <w:rsid w:val="00183528"/>
    <w:rsid w:val="001841D4"/>
    <w:rsid w:val="00186C12"/>
    <w:rsid w:val="00187695"/>
    <w:rsid w:val="001912B2"/>
    <w:rsid w:val="001931B1"/>
    <w:rsid w:val="00193378"/>
    <w:rsid w:val="0019348E"/>
    <w:rsid w:val="001935C6"/>
    <w:rsid w:val="00193F5C"/>
    <w:rsid w:val="001940B4"/>
    <w:rsid w:val="001947CB"/>
    <w:rsid w:val="001953B3"/>
    <w:rsid w:val="00195A52"/>
    <w:rsid w:val="0019753A"/>
    <w:rsid w:val="00197F01"/>
    <w:rsid w:val="001A09AE"/>
    <w:rsid w:val="001A0D9C"/>
    <w:rsid w:val="001A0E78"/>
    <w:rsid w:val="001A1265"/>
    <w:rsid w:val="001A12D7"/>
    <w:rsid w:val="001A4757"/>
    <w:rsid w:val="001A6B9A"/>
    <w:rsid w:val="001A6BF3"/>
    <w:rsid w:val="001A743A"/>
    <w:rsid w:val="001B1D21"/>
    <w:rsid w:val="001B2252"/>
    <w:rsid w:val="001B30C7"/>
    <w:rsid w:val="001B31C6"/>
    <w:rsid w:val="001B5C9A"/>
    <w:rsid w:val="001B5F78"/>
    <w:rsid w:val="001B64EB"/>
    <w:rsid w:val="001B75B5"/>
    <w:rsid w:val="001C0537"/>
    <w:rsid w:val="001C07B9"/>
    <w:rsid w:val="001C0A53"/>
    <w:rsid w:val="001C0B0C"/>
    <w:rsid w:val="001C1E5C"/>
    <w:rsid w:val="001C22ED"/>
    <w:rsid w:val="001C2458"/>
    <w:rsid w:val="001C3610"/>
    <w:rsid w:val="001C5C08"/>
    <w:rsid w:val="001C5E7E"/>
    <w:rsid w:val="001C6802"/>
    <w:rsid w:val="001C687D"/>
    <w:rsid w:val="001C6DF7"/>
    <w:rsid w:val="001C720E"/>
    <w:rsid w:val="001C7931"/>
    <w:rsid w:val="001D007E"/>
    <w:rsid w:val="001D0542"/>
    <w:rsid w:val="001D0AE3"/>
    <w:rsid w:val="001D0C7F"/>
    <w:rsid w:val="001D17B6"/>
    <w:rsid w:val="001D226F"/>
    <w:rsid w:val="001D3131"/>
    <w:rsid w:val="001D3F91"/>
    <w:rsid w:val="001D49A1"/>
    <w:rsid w:val="001D5178"/>
    <w:rsid w:val="001D699A"/>
    <w:rsid w:val="001D6B8D"/>
    <w:rsid w:val="001D79E5"/>
    <w:rsid w:val="001E2396"/>
    <w:rsid w:val="001E287E"/>
    <w:rsid w:val="001E29D3"/>
    <w:rsid w:val="001E33B5"/>
    <w:rsid w:val="001E409D"/>
    <w:rsid w:val="001E4925"/>
    <w:rsid w:val="001E5954"/>
    <w:rsid w:val="001E6EA7"/>
    <w:rsid w:val="001E714D"/>
    <w:rsid w:val="001F0684"/>
    <w:rsid w:val="001F16C0"/>
    <w:rsid w:val="001F1D89"/>
    <w:rsid w:val="001F1F36"/>
    <w:rsid w:val="001F2BA6"/>
    <w:rsid w:val="001F38B5"/>
    <w:rsid w:val="001F4881"/>
    <w:rsid w:val="001F4F51"/>
    <w:rsid w:val="001F627E"/>
    <w:rsid w:val="001F69AE"/>
    <w:rsid w:val="001F74CF"/>
    <w:rsid w:val="001F7D68"/>
    <w:rsid w:val="00200CFC"/>
    <w:rsid w:val="00201412"/>
    <w:rsid w:val="00203A36"/>
    <w:rsid w:val="00203D6F"/>
    <w:rsid w:val="00203EBC"/>
    <w:rsid w:val="002058CE"/>
    <w:rsid w:val="002061E3"/>
    <w:rsid w:val="002070E8"/>
    <w:rsid w:val="0020750B"/>
    <w:rsid w:val="00211362"/>
    <w:rsid w:val="00211A3E"/>
    <w:rsid w:val="00215AF8"/>
    <w:rsid w:val="00217E61"/>
    <w:rsid w:val="00220BA5"/>
    <w:rsid w:val="002215F7"/>
    <w:rsid w:val="00221B40"/>
    <w:rsid w:val="00224148"/>
    <w:rsid w:val="002241E0"/>
    <w:rsid w:val="00224903"/>
    <w:rsid w:val="00224FA0"/>
    <w:rsid w:val="0022507D"/>
    <w:rsid w:val="00226526"/>
    <w:rsid w:val="002266C7"/>
    <w:rsid w:val="00226E04"/>
    <w:rsid w:val="002312FA"/>
    <w:rsid w:val="002316AC"/>
    <w:rsid w:val="00232997"/>
    <w:rsid w:val="0023303A"/>
    <w:rsid w:val="00233276"/>
    <w:rsid w:val="0023390B"/>
    <w:rsid w:val="00234245"/>
    <w:rsid w:val="00234785"/>
    <w:rsid w:val="0023478A"/>
    <w:rsid w:val="00235B2D"/>
    <w:rsid w:val="00240CB0"/>
    <w:rsid w:val="0024250C"/>
    <w:rsid w:val="00242EA3"/>
    <w:rsid w:val="00243445"/>
    <w:rsid w:val="00243CB8"/>
    <w:rsid w:val="0024445D"/>
    <w:rsid w:val="00245213"/>
    <w:rsid w:val="00245A8D"/>
    <w:rsid w:val="0024633D"/>
    <w:rsid w:val="0025139E"/>
    <w:rsid w:val="002513A6"/>
    <w:rsid w:val="00252A09"/>
    <w:rsid w:val="00252FE3"/>
    <w:rsid w:val="002548AA"/>
    <w:rsid w:val="00254A83"/>
    <w:rsid w:val="0025598F"/>
    <w:rsid w:val="00255CEC"/>
    <w:rsid w:val="00260EE9"/>
    <w:rsid w:val="00262BFB"/>
    <w:rsid w:val="002632FF"/>
    <w:rsid w:val="00264250"/>
    <w:rsid w:val="00265B65"/>
    <w:rsid w:val="002673CF"/>
    <w:rsid w:val="00270457"/>
    <w:rsid w:val="002713C4"/>
    <w:rsid w:val="00271C5B"/>
    <w:rsid w:val="00271CE4"/>
    <w:rsid w:val="0027254A"/>
    <w:rsid w:val="00273840"/>
    <w:rsid w:val="00274350"/>
    <w:rsid w:val="0027553C"/>
    <w:rsid w:val="00275760"/>
    <w:rsid w:val="00275A83"/>
    <w:rsid w:val="00275E41"/>
    <w:rsid w:val="002760A8"/>
    <w:rsid w:val="00281038"/>
    <w:rsid w:val="00282937"/>
    <w:rsid w:val="00282B7D"/>
    <w:rsid w:val="002834DA"/>
    <w:rsid w:val="0028572F"/>
    <w:rsid w:val="00285971"/>
    <w:rsid w:val="00285E77"/>
    <w:rsid w:val="00287472"/>
    <w:rsid w:val="00287C0D"/>
    <w:rsid w:val="00291478"/>
    <w:rsid w:val="00291D43"/>
    <w:rsid w:val="00291E67"/>
    <w:rsid w:val="00292131"/>
    <w:rsid w:val="00292E98"/>
    <w:rsid w:val="00293540"/>
    <w:rsid w:val="00293690"/>
    <w:rsid w:val="00293A06"/>
    <w:rsid w:val="002953A5"/>
    <w:rsid w:val="00295A6B"/>
    <w:rsid w:val="0029675E"/>
    <w:rsid w:val="002A066C"/>
    <w:rsid w:val="002A3DAA"/>
    <w:rsid w:val="002A495D"/>
    <w:rsid w:val="002A4F71"/>
    <w:rsid w:val="002A52BB"/>
    <w:rsid w:val="002A5756"/>
    <w:rsid w:val="002A6C3B"/>
    <w:rsid w:val="002A75FB"/>
    <w:rsid w:val="002A77E6"/>
    <w:rsid w:val="002B04BC"/>
    <w:rsid w:val="002B0AB5"/>
    <w:rsid w:val="002B28B6"/>
    <w:rsid w:val="002B29FF"/>
    <w:rsid w:val="002B2F61"/>
    <w:rsid w:val="002B4717"/>
    <w:rsid w:val="002B521B"/>
    <w:rsid w:val="002B5AA0"/>
    <w:rsid w:val="002B7A75"/>
    <w:rsid w:val="002C0406"/>
    <w:rsid w:val="002C0AC1"/>
    <w:rsid w:val="002C42D0"/>
    <w:rsid w:val="002C6E11"/>
    <w:rsid w:val="002C70F3"/>
    <w:rsid w:val="002C7971"/>
    <w:rsid w:val="002D088B"/>
    <w:rsid w:val="002D24D3"/>
    <w:rsid w:val="002D2D61"/>
    <w:rsid w:val="002D2FDE"/>
    <w:rsid w:val="002D3825"/>
    <w:rsid w:val="002D40D2"/>
    <w:rsid w:val="002D4367"/>
    <w:rsid w:val="002D43E3"/>
    <w:rsid w:val="002D5271"/>
    <w:rsid w:val="002D6AFE"/>
    <w:rsid w:val="002D7C7C"/>
    <w:rsid w:val="002E209E"/>
    <w:rsid w:val="002E3F13"/>
    <w:rsid w:val="002E7B6C"/>
    <w:rsid w:val="002F01FB"/>
    <w:rsid w:val="002F0AD4"/>
    <w:rsid w:val="002F0D8A"/>
    <w:rsid w:val="002F3250"/>
    <w:rsid w:val="002F6993"/>
    <w:rsid w:val="002F7D77"/>
    <w:rsid w:val="003009F5"/>
    <w:rsid w:val="00302134"/>
    <w:rsid w:val="0030478A"/>
    <w:rsid w:val="003054AE"/>
    <w:rsid w:val="003057D0"/>
    <w:rsid w:val="00305B25"/>
    <w:rsid w:val="003112F5"/>
    <w:rsid w:val="00311484"/>
    <w:rsid w:val="003132A6"/>
    <w:rsid w:val="003134A9"/>
    <w:rsid w:val="00314444"/>
    <w:rsid w:val="00315314"/>
    <w:rsid w:val="00315BBA"/>
    <w:rsid w:val="00315F7B"/>
    <w:rsid w:val="00316E6A"/>
    <w:rsid w:val="0031787E"/>
    <w:rsid w:val="00317A38"/>
    <w:rsid w:val="0032198A"/>
    <w:rsid w:val="00322A6F"/>
    <w:rsid w:val="00323F1B"/>
    <w:rsid w:val="003263C8"/>
    <w:rsid w:val="00327658"/>
    <w:rsid w:val="00330D17"/>
    <w:rsid w:val="00331C56"/>
    <w:rsid w:val="003333E4"/>
    <w:rsid w:val="003336D0"/>
    <w:rsid w:val="00334718"/>
    <w:rsid w:val="003350FF"/>
    <w:rsid w:val="00341062"/>
    <w:rsid w:val="0034141F"/>
    <w:rsid w:val="00341AE4"/>
    <w:rsid w:val="0034325A"/>
    <w:rsid w:val="003447F7"/>
    <w:rsid w:val="003452FD"/>
    <w:rsid w:val="00345371"/>
    <w:rsid w:val="00345EC9"/>
    <w:rsid w:val="00346CF0"/>
    <w:rsid w:val="00351C22"/>
    <w:rsid w:val="00360214"/>
    <w:rsid w:val="00360C83"/>
    <w:rsid w:val="00362228"/>
    <w:rsid w:val="00364604"/>
    <w:rsid w:val="00364677"/>
    <w:rsid w:val="00366208"/>
    <w:rsid w:val="00366828"/>
    <w:rsid w:val="003729C1"/>
    <w:rsid w:val="003738AB"/>
    <w:rsid w:val="00373AFB"/>
    <w:rsid w:val="00373E80"/>
    <w:rsid w:val="00375E01"/>
    <w:rsid w:val="00376AD8"/>
    <w:rsid w:val="003802E0"/>
    <w:rsid w:val="0038031C"/>
    <w:rsid w:val="00381571"/>
    <w:rsid w:val="00382D17"/>
    <w:rsid w:val="00386910"/>
    <w:rsid w:val="0039198F"/>
    <w:rsid w:val="0039206E"/>
    <w:rsid w:val="0039294A"/>
    <w:rsid w:val="003945EC"/>
    <w:rsid w:val="0039475E"/>
    <w:rsid w:val="00396359"/>
    <w:rsid w:val="003973FB"/>
    <w:rsid w:val="003976D5"/>
    <w:rsid w:val="00397942"/>
    <w:rsid w:val="003A0B22"/>
    <w:rsid w:val="003A0B93"/>
    <w:rsid w:val="003A202C"/>
    <w:rsid w:val="003A20AE"/>
    <w:rsid w:val="003A2D5E"/>
    <w:rsid w:val="003A2E98"/>
    <w:rsid w:val="003A30D0"/>
    <w:rsid w:val="003A3638"/>
    <w:rsid w:val="003A4EF5"/>
    <w:rsid w:val="003A58C7"/>
    <w:rsid w:val="003A6D24"/>
    <w:rsid w:val="003A763F"/>
    <w:rsid w:val="003A7942"/>
    <w:rsid w:val="003B0999"/>
    <w:rsid w:val="003B13B1"/>
    <w:rsid w:val="003B20E9"/>
    <w:rsid w:val="003B280A"/>
    <w:rsid w:val="003B3CAA"/>
    <w:rsid w:val="003B3E92"/>
    <w:rsid w:val="003B4D66"/>
    <w:rsid w:val="003B4E8D"/>
    <w:rsid w:val="003B5DC1"/>
    <w:rsid w:val="003B67DF"/>
    <w:rsid w:val="003B761F"/>
    <w:rsid w:val="003C149C"/>
    <w:rsid w:val="003C1779"/>
    <w:rsid w:val="003C1866"/>
    <w:rsid w:val="003C2EE0"/>
    <w:rsid w:val="003C34DB"/>
    <w:rsid w:val="003C39C8"/>
    <w:rsid w:val="003C4167"/>
    <w:rsid w:val="003C4830"/>
    <w:rsid w:val="003C50FC"/>
    <w:rsid w:val="003C5DA2"/>
    <w:rsid w:val="003C6206"/>
    <w:rsid w:val="003C67FF"/>
    <w:rsid w:val="003C74EE"/>
    <w:rsid w:val="003C7C36"/>
    <w:rsid w:val="003D1DD8"/>
    <w:rsid w:val="003D2170"/>
    <w:rsid w:val="003D2C21"/>
    <w:rsid w:val="003D364F"/>
    <w:rsid w:val="003D4450"/>
    <w:rsid w:val="003D755A"/>
    <w:rsid w:val="003D7AE4"/>
    <w:rsid w:val="003E08A3"/>
    <w:rsid w:val="003E0FB8"/>
    <w:rsid w:val="003E1547"/>
    <w:rsid w:val="003E3167"/>
    <w:rsid w:val="003E38F5"/>
    <w:rsid w:val="003E479D"/>
    <w:rsid w:val="003E4EDF"/>
    <w:rsid w:val="003E52B2"/>
    <w:rsid w:val="003E64F4"/>
    <w:rsid w:val="003E68D1"/>
    <w:rsid w:val="003E7CCE"/>
    <w:rsid w:val="003F0A06"/>
    <w:rsid w:val="003F1914"/>
    <w:rsid w:val="003F1D8B"/>
    <w:rsid w:val="003F615D"/>
    <w:rsid w:val="003F72E8"/>
    <w:rsid w:val="003F763A"/>
    <w:rsid w:val="003F7B9A"/>
    <w:rsid w:val="003F7BE6"/>
    <w:rsid w:val="0040004B"/>
    <w:rsid w:val="00401073"/>
    <w:rsid w:val="004012A0"/>
    <w:rsid w:val="00401954"/>
    <w:rsid w:val="00401ED6"/>
    <w:rsid w:val="004023A4"/>
    <w:rsid w:val="00402FB3"/>
    <w:rsid w:val="00403C5C"/>
    <w:rsid w:val="00404DC0"/>
    <w:rsid w:val="00404FF1"/>
    <w:rsid w:val="004054E6"/>
    <w:rsid w:val="00407868"/>
    <w:rsid w:val="0041012F"/>
    <w:rsid w:val="0041203D"/>
    <w:rsid w:val="00412318"/>
    <w:rsid w:val="00412A1B"/>
    <w:rsid w:val="00412A34"/>
    <w:rsid w:val="00412C4D"/>
    <w:rsid w:val="00412CB3"/>
    <w:rsid w:val="00414FEF"/>
    <w:rsid w:val="004156EF"/>
    <w:rsid w:val="00415F60"/>
    <w:rsid w:val="00416306"/>
    <w:rsid w:val="00416479"/>
    <w:rsid w:val="004201A3"/>
    <w:rsid w:val="004206AA"/>
    <w:rsid w:val="00421422"/>
    <w:rsid w:val="00421548"/>
    <w:rsid w:val="00421B6A"/>
    <w:rsid w:val="00421D48"/>
    <w:rsid w:val="00423615"/>
    <w:rsid w:val="00426A14"/>
    <w:rsid w:val="00427E2F"/>
    <w:rsid w:val="00430A22"/>
    <w:rsid w:val="004311E6"/>
    <w:rsid w:val="00431F56"/>
    <w:rsid w:val="004325F7"/>
    <w:rsid w:val="004329A2"/>
    <w:rsid w:val="00433B94"/>
    <w:rsid w:val="0043461C"/>
    <w:rsid w:val="004367F8"/>
    <w:rsid w:val="00437354"/>
    <w:rsid w:val="004406F1"/>
    <w:rsid w:val="0044265B"/>
    <w:rsid w:val="00442DC0"/>
    <w:rsid w:val="004431BA"/>
    <w:rsid w:val="00443E90"/>
    <w:rsid w:val="00444302"/>
    <w:rsid w:val="00444BE2"/>
    <w:rsid w:val="00445098"/>
    <w:rsid w:val="004470C8"/>
    <w:rsid w:val="00450696"/>
    <w:rsid w:val="004517F3"/>
    <w:rsid w:val="00451903"/>
    <w:rsid w:val="00451918"/>
    <w:rsid w:val="00451FF3"/>
    <w:rsid w:val="00452544"/>
    <w:rsid w:val="004528F7"/>
    <w:rsid w:val="00453B2C"/>
    <w:rsid w:val="00453D12"/>
    <w:rsid w:val="004545E4"/>
    <w:rsid w:val="0045631A"/>
    <w:rsid w:val="004565DD"/>
    <w:rsid w:val="004566DA"/>
    <w:rsid w:val="00456B8E"/>
    <w:rsid w:val="00457C7B"/>
    <w:rsid w:val="00461158"/>
    <w:rsid w:val="00461F73"/>
    <w:rsid w:val="004620A6"/>
    <w:rsid w:val="00462656"/>
    <w:rsid w:val="00463E35"/>
    <w:rsid w:val="00465C80"/>
    <w:rsid w:val="004674FE"/>
    <w:rsid w:val="0047128A"/>
    <w:rsid w:val="00472091"/>
    <w:rsid w:val="004720E3"/>
    <w:rsid w:val="0047235E"/>
    <w:rsid w:val="0047287B"/>
    <w:rsid w:val="00473532"/>
    <w:rsid w:val="0047473A"/>
    <w:rsid w:val="00475AE0"/>
    <w:rsid w:val="00475FE6"/>
    <w:rsid w:val="00476084"/>
    <w:rsid w:val="00476B0E"/>
    <w:rsid w:val="00477B93"/>
    <w:rsid w:val="0048024C"/>
    <w:rsid w:val="00480840"/>
    <w:rsid w:val="00480E6D"/>
    <w:rsid w:val="00482291"/>
    <w:rsid w:val="004827DC"/>
    <w:rsid w:val="00484011"/>
    <w:rsid w:val="004844A9"/>
    <w:rsid w:val="004867E6"/>
    <w:rsid w:val="0048690C"/>
    <w:rsid w:val="00486C06"/>
    <w:rsid w:val="004871BB"/>
    <w:rsid w:val="004903E4"/>
    <w:rsid w:val="00491968"/>
    <w:rsid w:val="00491B14"/>
    <w:rsid w:val="00491C8C"/>
    <w:rsid w:val="0049268F"/>
    <w:rsid w:val="00492AB5"/>
    <w:rsid w:val="004945F7"/>
    <w:rsid w:val="00494681"/>
    <w:rsid w:val="00495DE5"/>
    <w:rsid w:val="00495F10"/>
    <w:rsid w:val="00496421"/>
    <w:rsid w:val="00497BA7"/>
    <w:rsid w:val="004A0B84"/>
    <w:rsid w:val="004A183B"/>
    <w:rsid w:val="004A2016"/>
    <w:rsid w:val="004A224F"/>
    <w:rsid w:val="004A2919"/>
    <w:rsid w:val="004A42B2"/>
    <w:rsid w:val="004A4D62"/>
    <w:rsid w:val="004A51F5"/>
    <w:rsid w:val="004A5F73"/>
    <w:rsid w:val="004A7616"/>
    <w:rsid w:val="004B26B7"/>
    <w:rsid w:val="004B2937"/>
    <w:rsid w:val="004B3213"/>
    <w:rsid w:val="004B3728"/>
    <w:rsid w:val="004B3D85"/>
    <w:rsid w:val="004B3ED2"/>
    <w:rsid w:val="004B3FB2"/>
    <w:rsid w:val="004B3FE5"/>
    <w:rsid w:val="004B41BC"/>
    <w:rsid w:val="004B64C9"/>
    <w:rsid w:val="004B6B6E"/>
    <w:rsid w:val="004B6CE3"/>
    <w:rsid w:val="004B6D48"/>
    <w:rsid w:val="004B7B4C"/>
    <w:rsid w:val="004B7E33"/>
    <w:rsid w:val="004C0026"/>
    <w:rsid w:val="004C0816"/>
    <w:rsid w:val="004C107D"/>
    <w:rsid w:val="004C1A81"/>
    <w:rsid w:val="004C3218"/>
    <w:rsid w:val="004C48FC"/>
    <w:rsid w:val="004C4BAC"/>
    <w:rsid w:val="004C5955"/>
    <w:rsid w:val="004C5A72"/>
    <w:rsid w:val="004C6A78"/>
    <w:rsid w:val="004C6BDB"/>
    <w:rsid w:val="004C7BA2"/>
    <w:rsid w:val="004D1B3D"/>
    <w:rsid w:val="004D298C"/>
    <w:rsid w:val="004D3B3A"/>
    <w:rsid w:val="004D4B53"/>
    <w:rsid w:val="004D57C9"/>
    <w:rsid w:val="004D6351"/>
    <w:rsid w:val="004D642C"/>
    <w:rsid w:val="004D7C62"/>
    <w:rsid w:val="004E1554"/>
    <w:rsid w:val="004E1E6F"/>
    <w:rsid w:val="004E215C"/>
    <w:rsid w:val="004E219A"/>
    <w:rsid w:val="004E2FB6"/>
    <w:rsid w:val="004E3A19"/>
    <w:rsid w:val="004E3E64"/>
    <w:rsid w:val="004E5BFB"/>
    <w:rsid w:val="004E6A44"/>
    <w:rsid w:val="004E7026"/>
    <w:rsid w:val="004E792B"/>
    <w:rsid w:val="004F2BD6"/>
    <w:rsid w:val="004F3316"/>
    <w:rsid w:val="004F429F"/>
    <w:rsid w:val="004F4659"/>
    <w:rsid w:val="004F4CF0"/>
    <w:rsid w:val="004F516C"/>
    <w:rsid w:val="004F5FB4"/>
    <w:rsid w:val="004F7DFB"/>
    <w:rsid w:val="0050295D"/>
    <w:rsid w:val="00503E06"/>
    <w:rsid w:val="00503EA6"/>
    <w:rsid w:val="005040CF"/>
    <w:rsid w:val="00504991"/>
    <w:rsid w:val="00504D89"/>
    <w:rsid w:val="0050524B"/>
    <w:rsid w:val="00506205"/>
    <w:rsid w:val="00506AA3"/>
    <w:rsid w:val="00506C76"/>
    <w:rsid w:val="0050765A"/>
    <w:rsid w:val="00507EA4"/>
    <w:rsid w:val="0051010E"/>
    <w:rsid w:val="00512DA9"/>
    <w:rsid w:val="00513A2E"/>
    <w:rsid w:val="00513BC5"/>
    <w:rsid w:val="00513DD5"/>
    <w:rsid w:val="00514CDA"/>
    <w:rsid w:val="00514E09"/>
    <w:rsid w:val="00515198"/>
    <w:rsid w:val="005156F6"/>
    <w:rsid w:val="005174EB"/>
    <w:rsid w:val="00517EBD"/>
    <w:rsid w:val="00520294"/>
    <w:rsid w:val="00522349"/>
    <w:rsid w:val="00522A95"/>
    <w:rsid w:val="00524DF0"/>
    <w:rsid w:val="00525733"/>
    <w:rsid w:val="00526B46"/>
    <w:rsid w:val="00527D6B"/>
    <w:rsid w:val="00527FE3"/>
    <w:rsid w:val="00531211"/>
    <w:rsid w:val="00531A0B"/>
    <w:rsid w:val="00531B3E"/>
    <w:rsid w:val="00532045"/>
    <w:rsid w:val="00532E82"/>
    <w:rsid w:val="00534930"/>
    <w:rsid w:val="005359B4"/>
    <w:rsid w:val="00535E81"/>
    <w:rsid w:val="00537801"/>
    <w:rsid w:val="00540CB0"/>
    <w:rsid w:val="00540CDE"/>
    <w:rsid w:val="0054121A"/>
    <w:rsid w:val="0054401B"/>
    <w:rsid w:val="00544703"/>
    <w:rsid w:val="00544EDE"/>
    <w:rsid w:val="00546339"/>
    <w:rsid w:val="005465D9"/>
    <w:rsid w:val="00546D3F"/>
    <w:rsid w:val="00546F8A"/>
    <w:rsid w:val="005476FC"/>
    <w:rsid w:val="00550D56"/>
    <w:rsid w:val="00550D57"/>
    <w:rsid w:val="0055172C"/>
    <w:rsid w:val="0055283A"/>
    <w:rsid w:val="00553508"/>
    <w:rsid w:val="00554DD3"/>
    <w:rsid w:val="00557EA5"/>
    <w:rsid w:val="00557F41"/>
    <w:rsid w:val="005601C7"/>
    <w:rsid w:val="00561A4C"/>
    <w:rsid w:val="00561ACE"/>
    <w:rsid w:val="00563593"/>
    <w:rsid w:val="0056395D"/>
    <w:rsid w:val="00563E84"/>
    <w:rsid w:val="00564ED0"/>
    <w:rsid w:val="00564F8A"/>
    <w:rsid w:val="005672E1"/>
    <w:rsid w:val="005673AE"/>
    <w:rsid w:val="005676FD"/>
    <w:rsid w:val="005734B0"/>
    <w:rsid w:val="0057362A"/>
    <w:rsid w:val="005746F7"/>
    <w:rsid w:val="00574F54"/>
    <w:rsid w:val="005752D3"/>
    <w:rsid w:val="0057565E"/>
    <w:rsid w:val="0057612A"/>
    <w:rsid w:val="0057747B"/>
    <w:rsid w:val="005777BA"/>
    <w:rsid w:val="005805FC"/>
    <w:rsid w:val="005807E7"/>
    <w:rsid w:val="00581DBC"/>
    <w:rsid w:val="00582A3A"/>
    <w:rsid w:val="00583336"/>
    <w:rsid w:val="005833B9"/>
    <w:rsid w:val="0058458E"/>
    <w:rsid w:val="00584CF1"/>
    <w:rsid w:val="00585F1E"/>
    <w:rsid w:val="0059054B"/>
    <w:rsid w:val="005907D0"/>
    <w:rsid w:val="005915D0"/>
    <w:rsid w:val="00592FA5"/>
    <w:rsid w:val="005940B1"/>
    <w:rsid w:val="00594203"/>
    <w:rsid w:val="00594446"/>
    <w:rsid w:val="005944A1"/>
    <w:rsid w:val="00597278"/>
    <w:rsid w:val="00597D26"/>
    <w:rsid w:val="005A0582"/>
    <w:rsid w:val="005A104A"/>
    <w:rsid w:val="005A196C"/>
    <w:rsid w:val="005A2B48"/>
    <w:rsid w:val="005A3E05"/>
    <w:rsid w:val="005A6245"/>
    <w:rsid w:val="005A6511"/>
    <w:rsid w:val="005A6E7F"/>
    <w:rsid w:val="005A72E6"/>
    <w:rsid w:val="005B0399"/>
    <w:rsid w:val="005B10DD"/>
    <w:rsid w:val="005B1C0B"/>
    <w:rsid w:val="005B52AA"/>
    <w:rsid w:val="005B537F"/>
    <w:rsid w:val="005B6481"/>
    <w:rsid w:val="005B7C04"/>
    <w:rsid w:val="005C13C6"/>
    <w:rsid w:val="005C1ADE"/>
    <w:rsid w:val="005C1F93"/>
    <w:rsid w:val="005C26FF"/>
    <w:rsid w:val="005C291B"/>
    <w:rsid w:val="005C2DB3"/>
    <w:rsid w:val="005C3537"/>
    <w:rsid w:val="005C36F7"/>
    <w:rsid w:val="005C3A99"/>
    <w:rsid w:val="005C4310"/>
    <w:rsid w:val="005C4329"/>
    <w:rsid w:val="005C45DF"/>
    <w:rsid w:val="005C4707"/>
    <w:rsid w:val="005C55A9"/>
    <w:rsid w:val="005C5F0A"/>
    <w:rsid w:val="005C6D65"/>
    <w:rsid w:val="005C7188"/>
    <w:rsid w:val="005D2164"/>
    <w:rsid w:val="005D2DD7"/>
    <w:rsid w:val="005D31FA"/>
    <w:rsid w:val="005D4513"/>
    <w:rsid w:val="005D4C33"/>
    <w:rsid w:val="005D4F1E"/>
    <w:rsid w:val="005D5266"/>
    <w:rsid w:val="005D7408"/>
    <w:rsid w:val="005E36A2"/>
    <w:rsid w:val="005E5CD5"/>
    <w:rsid w:val="005E5F52"/>
    <w:rsid w:val="005E5F9C"/>
    <w:rsid w:val="005E6091"/>
    <w:rsid w:val="005E7E84"/>
    <w:rsid w:val="005F0E74"/>
    <w:rsid w:val="005F1D1E"/>
    <w:rsid w:val="005F2C71"/>
    <w:rsid w:val="005F39CB"/>
    <w:rsid w:val="005F562C"/>
    <w:rsid w:val="005F609D"/>
    <w:rsid w:val="005F6515"/>
    <w:rsid w:val="005F6EB0"/>
    <w:rsid w:val="005F6F86"/>
    <w:rsid w:val="005F7E56"/>
    <w:rsid w:val="0060047D"/>
    <w:rsid w:val="00600914"/>
    <w:rsid w:val="00600D49"/>
    <w:rsid w:val="00601322"/>
    <w:rsid w:val="006034E7"/>
    <w:rsid w:val="00603EB5"/>
    <w:rsid w:val="006061F0"/>
    <w:rsid w:val="006068A5"/>
    <w:rsid w:val="006078EC"/>
    <w:rsid w:val="00610295"/>
    <w:rsid w:val="0061030E"/>
    <w:rsid w:val="00610929"/>
    <w:rsid w:val="00610C05"/>
    <w:rsid w:val="0061170A"/>
    <w:rsid w:val="0061249A"/>
    <w:rsid w:val="00612752"/>
    <w:rsid w:val="00612939"/>
    <w:rsid w:val="0061345E"/>
    <w:rsid w:val="0061559E"/>
    <w:rsid w:val="00615D2F"/>
    <w:rsid w:val="00616CF3"/>
    <w:rsid w:val="00617AD4"/>
    <w:rsid w:val="00617F59"/>
    <w:rsid w:val="00617F64"/>
    <w:rsid w:val="006201F6"/>
    <w:rsid w:val="00621175"/>
    <w:rsid w:val="006241C4"/>
    <w:rsid w:val="00624F72"/>
    <w:rsid w:val="00624FC3"/>
    <w:rsid w:val="00625C6E"/>
    <w:rsid w:val="006262BA"/>
    <w:rsid w:val="0062646A"/>
    <w:rsid w:val="006266F2"/>
    <w:rsid w:val="006303B6"/>
    <w:rsid w:val="006304EB"/>
    <w:rsid w:val="00630829"/>
    <w:rsid w:val="00632162"/>
    <w:rsid w:val="00632573"/>
    <w:rsid w:val="006347CB"/>
    <w:rsid w:val="00635428"/>
    <w:rsid w:val="00635F62"/>
    <w:rsid w:val="00636EC8"/>
    <w:rsid w:val="0063724B"/>
    <w:rsid w:val="00637E67"/>
    <w:rsid w:val="0064160F"/>
    <w:rsid w:val="0064218C"/>
    <w:rsid w:val="0064287B"/>
    <w:rsid w:val="00642E1B"/>
    <w:rsid w:val="006430A4"/>
    <w:rsid w:val="006431F0"/>
    <w:rsid w:val="00643F47"/>
    <w:rsid w:val="00646EBA"/>
    <w:rsid w:val="00647820"/>
    <w:rsid w:val="00647D81"/>
    <w:rsid w:val="00650E48"/>
    <w:rsid w:val="00651370"/>
    <w:rsid w:val="00651D9D"/>
    <w:rsid w:val="00652AFC"/>
    <w:rsid w:val="00653371"/>
    <w:rsid w:val="00654919"/>
    <w:rsid w:val="00656615"/>
    <w:rsid w:val="006568BD"/>
    <w:rsid w:val="00657938"/>
    <w:rsid w:val="00660267"/>
    <w:rsid w:val="0066093C"/>
    <w:rsid w:val="00660B94"/>
    <w:rsid w:val="00660BEE"/>
    <w:rsid w:val="00662A78"/>
    <w:rsid w:val="00662F44"/>
    <w:rsid w:val="00664E6F"/>
    <w:rsid w:val="00665442"/>
    <w:rsid w:val="00665798"/>
    <w:rsid w:val="006659EB"/>
    <w:rsid w:val="006664C0"/>
    <w:rsid w:val="00667689"/>
    <w:rsid w:val="006676C8"/>
    <w:rsid w:val="00667896"/>
    <w:rsid w:val="00670BC3"/>
    <w:rsid w:val="00671469"/>
    <w:rsid w:val="00671CA1"/>
    <w:rsid w:val="006720E5"/>
    <w:rsid w:val="00672F35"/>
    <w:rsid w:val="00673CE1"/>
    <w:rsid w:val="00676980"/>
    <w:rsid w:val="00676E97"/>
    <w:rsid w:val="0067794B"/>
    <w:rsid w:val="006806FD"/>
    <w:rsid w:val="00681E39"/>
    <w:rsid w:val="006823DA"/>
    <w:rsid w:val="00682992"/>
    <w:rsid w:val="00682D9E"/>
    <w:rsid w:val="00683448"/>
    <w:rsid w:val="006874D2"/>
    <w:rsid w:val="0068756A"/>
    <w:rsid w:val="00687AD5"/>
    <w:rsid w:val="00690F6A"/>
    <w:rsid w:val="006912D3"/>
    <w:rsid w:val="00692046"/>
    <w:rsid w:val="0069254D"/>
    <w:rsid w:val="00693E84"/>
    <w:rsid w:val="00694F15"/>
    <w:rsid w:val="006968CF"/>
    <w:rsid w:val="00696EA3"/>
    <w:rsid w:val="006978B9"/>
    <w:rsid w:val="006A0DF1"/>
    <w:rsid w:val="006A15E9"/>
    <w:rsid w:val="006A2303"/>
    <w:rsid w:val="006A3482"/>
    <w:rsid w:val="006A3B82"/>
    <w:rsid w:val="006A401E"/>
    <w:rsid w:val="006B0311"/>
    <w:rsid w:val="006B062D"/>
    <w:rsid w:val="006B0A9C"/>
    <w:rsid w:val="006B0C48"/>
    <w:rsid w:val="006B10AD"/>
    <w:rsid w:val="006B13DD"/>
    <w:rsid w:val="006B14FA"/>
    <w:rsid w:val="006B26D3"/>
    <w:rsid w:val="006B3DCF"/>
    <w:rsid w:val="006B4049"/>
    <w:rsid w:val="006B4167"/>
    <w:rsid w:val="006B4D52"/>
    <w:rsid w:val="006B53FF"/>
    <w:rsid w:val="006B5D68"/>
    <w:rsid w:val="006C0B84"/>
    <w:rsid w:val="006C1863"/>
    <w:rsid w:val="006C1D6A"/>
    <w:rsid w:val="006C1F31"/>
    <w:rsid w:val="006C2167"/>
    <w:rsid w:val="006C30E3"/>
    <w:rsid w:val="006C3545"/>
    <w:rsid w:val="006C5625"/>
    <w:rsid w:val="006C617D"/>
    <w:rsid w:val="006C6F7D"/>
    <w:rsid w:val="006C752F"/>
    <w:rsid w:val="006D0DD9"/>
    <w:rsid w:val="006D15F1"/>
    <w:rsid w:val="006D2FDB"/>
    <w:rsid w:val="006D31D7"/>
    <w:rsid w:val="006D3EFE"/>
    <w:rsid w:val="006D4121"/>
    <w:rsid w:val="006D4F00"/>
    <w:rsid w:val="006D6D0F"/>
    <w:rsid w:val="006D6E15"/>
    <w:rsid w:val="006D7457"/>
    <w:rsid w:val="006E1527"/>
    <w:rsid w:val="006E19A6"/>
    <w:rsid w:val="006E1B1C"/>
    <w:rsid w:val="006E2955"/>
    <w:rsid w:val="006E4336"/>
    <w:rsid w:val="006E4758"/>
    <w:rsid w:val="006E56B9"/>
    <w:rsid w:val="006E66BA"/>
    <w:rsid w:val="006E6A06"/>
    <w:rsid w:val="006E6B2F"/>
    <w:rsid w:val="006E71F7"/>
    <w:rsid w:val="006E7EC0"/>
    <w:rsid w:val="006F2BA0"/>
    <w:rsid w:val="006F2C17"/>
    <w:rsid w:val="006F33E9"/>
    <w:rsid w:val="006F4946"/>
    <w:rsid w:val="006F4FFD"/>
    <w:rsid w:val="006F5AB4"/>
    <w:rsid w:val="006F79D2"/>
    <w:rsid w:val="00700905"/>
    <w:rsid w:val="007053B5"/>
    <w:rsid w:val="0070641C"/>
    <w:rsid w:val="0070758F"/>
    <w:rsid w:val="007075E1"/>
    <w:rsid w:val="0070763B"/>
    <w:rsid w:val="007079C4"/>
    <w:rsid w:val="00710199"/>
    <w:rsid w:val="007112D6"/>
    <w:rsid w:val="00711706"/>
    <w:rsid w:val="00713057"/>
    <w:rsid w:val="00713CC4"/>
    <w:rsid w:val="00714C12"/>
    <w:rsid w:val="00715E13"/>
    <w:rsid w:val="007165BA"/>
    <w:rsid w:val="0071669F"/>
    <w:rsid w:val="007216A0"/>
    <w:rsid w:val="007236F7"/>
    <w:rsid w:val="007239E2"/>
    <w:rsid w:val="007244B1"/>
    <w:rsid w:val="007255BF"/>
    <w:rsid w:val="00725891"/>
    <w:rsid w:val="00726AB7"/>
    <w:rsid w:val="0072719E"/>
    <w:rsid w:val="007274BD"/>
    <w:rsid w:val="00727FFE"/>
    <w:rsid w:val="007306AF"/>
    <w:rsid w:val="00730973"/>
    <w:rsid w:val="00731EB7"/>
    <w:rsid w:val="00732404"/>
    <w:rsid w:val="00732560"/>
    <w:rsid w:val="00733445"/>
    <w:rsid w:val="00733E2F"/>
    <w:rsid w:val="00733F74"/>
    <w:rsid w:val="00734D50"/>
    <w:rsid w:val="0073560E"/>
    <w:rsid w:val="007363E5"/>
    <w:rsid w:val="00736BB5"/>
    <w:rsid w:val="007375AC"/>
    <w:rsid w:val="0074023B"/>
    <w:rsid w:val="00741F95"/>
    <w:rsid w:val="007423AE"/>
    <w:rsid w:val="00743EE8"/>
    <w:rsid w:val="007441D8"/>
    <w:rsid w:val="00744B79"/>
    <w:rsid w:val="00744DC0"/>
    <w:rsid w:val="00744F8C"/>
    <w:rsid w:val="00745043"/>
    <w:rsid w:val="00746059"/>
    <w:rsid w:val="0074792F"/>
    <w:rsid w:val="007479D0"/>
    <w:rsid w:val="007509AF"/>
    <w:rsid w:val="00754181"/>
    <w:rsid w:val="007549C6"/>
    <w:rsid w:val="00755E71"/>
    <w:rsid w:val="00756394"/>
    <w:rsid w:val="00756BBA"/>
    <w:rsid w:val="00756CE3"/>
    <w:rsid w:val="007570D4"/>
    <w:rsid w:val="00757239"/>
    <w:rsid w:val="00757268"/>
    <w:rsid w:val="00757713"/>
    <w:rsid w:val="007620E0"/>
    <w:rsid w:val="00762711"/>
    <w:rsid w:val="0076348B"/>
    <w:rsid w:val="00763BD1"/>
    <w:rsid w:val="00764BE5"/>
    <w:rsid w:val="007654CB"/>
    <w:rsid w:val="0076590B"/>
    <w:rsid w:val="007661BA"/>
    <w:rsid w:val="00766264"/>
    <w:rsid w:val="00766313"/>
    <w:rsid w:val="00767760"/>
    <w:rsid w:val="007703F7"/>
    <w:rsid w:val="00770A05"/>
    <w:rsid w:val="00770AD8"/>
    <w:rsid w:val="00771201"/>
    <w:rsid w:val="00771E03"/>
    <w:rsid w:val="00772D3F"/>
    <w:rsid w:val="00772D4A"/>
    <w:rsid w:val="007748C0"/>
    <w:rsid w:val="00774C65"/>
    <w:rsid w:val="00775C2B"/>
    <w:rsid w:val="007760E8"/>
    <w:rsid w:val="00776B3F"/>
    <w:rsid w:val="00776F9E"/>
    <w:rsid w:val="00777ACD"/>
    <w:rsid w:val="00780C6F"/>
    <w:rsid w:val="00781B83"/>
    <w:rsid w:val="0078252E"/>
    <w:rsid w:val="00783534"/>
    <w:rsid w:val="00783657"/>
    <w:rsid w:val="00783C82"/>
    <w:rsid w:val="00783DB5"/>
    <w:rsid w:val="007840A6"/>
    <w:rsid w:val="007847A1"/>
    <w:rsid w:val="00784802"/>
    <w:rsid w:val="00784BFE"/>
    <w:rsid w:val="007856AC"/>
    <w:rsid w:val="00790A2B"/>
    <w:rsid w:val="00791782"/>
    <w:rsid w:val="00791E10"/>
    <w:rsid w:val="007934E7"/>
    <w:rsid w:val="00793E17"/>
    <w:rsid w:val="00793F91"/>
    <w:rsid w:val="00794EBE"/>
    <w:rsid w:val="00795439"/>
    <w:rsid w:val="00796325"/>
    <w:rsid w:val="007972E4"/>
    <w:rsid w:val="0079735B"/>
    <w:rsid w:val="00797A26"/>
    <w:rsid w:val="00797F36"/>
    <w:rsid w:val="007A0E09"/>
    <w:rsid w:val="007A3EAF"/>
    <w:rsid w:val="007A57CA"/>
    <w:rsid w:val="007A6168"/>
    <w:rsid w:val="007A706D"/>
    <w:rsid w:val="007A7388"/>
    <w:rsid w:val="007A75F1"/>
    <w:rsid w:val="007B106F"/>
    <w:rsid w:val="007B28DD"/>
    <w:rsid w:val="007B29D2"/>
    <w:rsid w:val="007B29E9"/>
    <w:rsid w:val="007B3A8C"/>
    <w:rsid w:val="007B3C4B"/>
    <w:rsid w:val="007B440F"/>
    <w:rsid w:val="007B4524"/>
    <w:rsid w:val="007B4829"/>
    <w:rsid w:val="007B5019"/>
    <w:rsid w:val="007B5FBD"/>
    <w:rsid w:val="007B6C29"/>
    <w:rsid w:val="007B7455"/>
    <w:rsid w:val="007B79B6"/>
    <w:rsid w:val="007B7EF4"/>
    <w:rsid w:val="007C15D4"/>
    <w:rsid w:val="007C22BD"/>
    <w:rsid w:val="007C2307"/>
    <w:rsid w:val="007C2765"/>
    <w:rsid w:val="007C3252"/>
    <w:rsid w:val="007C4445"/>
    <w:rsid w:val="007C459C"/>
    <w:rsid w:val="007C55AF"/>
    <w:rsid w:val="007C5835"/>
    <w:rsid w:val="007C5DBF"/>
    <w:rsid w:val="007C6E56"/>
    <w:rsid w:val="007D00A8"/>
    <w:rsid w:val="007D0694"/>
    <w:rsid w:val="007D21A6"/>
    <w:rsid w:val="007D2B89"/>
    <w:rsid w:val="007D4401"/>
    <w:rsid w:val="007D5A4F"/>
    <w:rsid w:val="007D7340"/>
    <w:rsid w:val="007D7826"/>
    <w:rsid w:val="007D7A84"/>
    <w:rsid w:val="007E03B1"/>
    <w:rsid w:val="007E0548"/>
    <w:rsid w:val="007E0762"/>
    <w:rsid w:val="007E1CBB"/>
    <w:rsid w:val="007E1DD4"/>
    <w:rsid w:val="007E2A31"/>
    <w:rsid w:val="007E30A0"/>
    <w:rsid w:val="007E3232"/>
    <w:rsid w:val="007E548E"/>
    <w:rsid w:val="007E7069"/>
    <w:rsid w:val="007E7DB5"/>
    <w:rsid w:val="007F17CB"/>
    <w:rsid w:val="007F3761"/>
    <w:rsid w:val="007F4154"/>
    <w:rsid w:val="007F56EC"/>
    <w:rsid w:val="007F707A"/>
    <w:rsid w:val="008008C5"/>
    <w:rsid w:val="00801F32"/>
    <w:rsid w:val="0080458D"/>
    <w:rsid w:val="00804983"/>
    <w:rsid w:val="008052CA"/>
    <w:rsid w:val="00805BEB"/>
    <w:rsid w:val="00807094"/>
    <w:rsid w:val="00807F62"/>
    <w:rsid w:val="008102D4"/>
    <w:rsid w:val="00810994"/>
    <w:rsid w:val="00813196"/>
    <w:rsid w:val="008131AD"/>
    <w:rsid w:val="008132FB"/>
    <w:rsid w:val="00813715"/>
    <w:rsid w:val="00813981"/>
    <w:rsid w:val="00813B00"/>
    <w:rsid w:val="0081425A"/>
    <w:rsid w:val="00815F15"/>
    <w:rsid w:val="00816255"/>
    <w:rsid w:val="00816C90"/>
    <w:rsid w:val="00816DF8"/>
    <w:rsid w:val="00816E83"/>
    <w:rsid w:val="00816E99"/>
    <w:rsid w:val="00817C5F"/>
    <w:rsid w:val="00820163"/>
    <w:rsid w:val="00820839"/>
    <w:rsid w:val="00820D74"/>
    <w:rsid w:val="00821727"/>
    <w:rsid w:val="008220EC"/>
    <w:rsid w:val="00822B3F"/>
    <w:rsid w:val="00822BBE"/>
    <w:rsid w:val="008237F7"/>
    <w:rsid w:val="008252B1"/>
    <w:rsid w:val="00825C6A"/>
    <w:rsid w:val="008274AB"/>
    <w:rsid w:val="00827B26"/>
    <w:rsid w:val="00831636"/>
    <w:rsid w:val="008329EE"/>
    <w:rsid w:val="00832EAF"/>
    <w:rsid w:val="0083378B"/>
    <w:rsid w:val="00833CB8"/>
    <w:rsid w:val="00835245"/>
    <w:rsid w:val="00835497"/>
    <w:rsid w:val="00835DC3"/>
    <w:rsid w:val="00837062"/>
    <w:rsid w:val="008372D4"/>
    <w:rsid w:val="00840259"/>
    <w:rsid w:val="00840435"/>
    <w:rsid w:val="008422FC"/>
    <w:rsid w:val="00842F98"/>
    <w:rsid w:val="0084543F"/>
    <w:rsid w:val="00846747"/>
    <w:rsid w:val="00846B8B"/>
    <w:rsid w:val="008479C6"/>
    <w:rsid w:val="00850C27"/>
    <w:rsid w:val="00850EF3"/>
    <w:rsid w:val="0085148D"/>
    <w:rsid w:val="00851A9D"/>
    <w:rsid w:val="008536B1"/>
    <w:rsid w:val="00853F46"/>
    <w:rsid w:val="0085458F"/>
    <w:rsid w:val="008562DF"/>
    <w:rsid w:val="00857C0F"/>
    <w:rsid w:val="00857D68"/>
    <w:rsid w:val="00860050"/>
    <w:rsid w:val="00860475"/>
    <w:rsid w:val="00861D80"/>
    <w:rsid w:val="00866818"/>
    <w:rsid w:val="00872C9B"/>
    <w:rsid w:val="00873815"/>
    <w:rsid w:val="00873D1D"/>
    <w:rsid w:val="008740BA"/>
    <w:rsid w:val="008746A0"/>
    <w:rsid w:val="00875131"/>
    <w:rsid w:val="00875989"/>
    <w:rsid w:val="00876486"/>
    <w:rsid w:val="00882981"/>
    <w:rsid w:val="00883784"/>
    <w:rsid w:val="008852CB"/>
    <w:rsid w:val="00885C96"/>
    <w:rsid w:val="00885EA8"/>
    <w:rsid w:val="008862FE"/>
    <w:rsid w:val="0089060B"/>
    <w:rsid w:val="0089095B"/>
    <w:rsid w:val="00890D69"/>
    <w:rsid w:val="00891014"/>
    <w:rsid w:val="0089157E"/>
    <w:rsid w:val="008931A5"/>
    <w:rsid w:val="0089353E"/>
    <w:rsid w:val="00894B45"/>
    <w:rsid w:val="00894C65"/>
    <w:rsid w:val="00896A4D"/>
    <w:rsid w:val="0089760D"/>
    <w:rsid w:val="008A07C9"/>
    <w:rsid w:val="008A0BA1"/>
    <w:rsid w:val="008A2007"/>
    <w:rsid w:val="008A2EDE"/>
    <w:rsid w:val="008A331A"/>
    <w:rsid w:val="008A5BEE"/>
    <w:rsid w:val="008A674C"/>
    <w:rsid w:val="008A7D7E"/>
    <w:rsid w:val="008B1B77"/>
    <w:rsid w:val="008B3709"/>
    <w:rsid w:val="008B4791"/>
    <w:rsid w:val="008C004D"/>
    <w:rsid w:val="008C08C1"/>
    <w:rsid w:val="008C1C5F"/>
    <w:rsid w:val="008C2779"/>
    <w:rsid w:val="008C2C1B"/>
    <w:rsid w:val="008C30E9"/>
    <w:rsid w:val="008C42A2"/>
    <w:rsid w:val="008C50AA"/>
    <w:rsid w:val="008C561F"/>
    <w:rsid w:val="008C70A3"/>
    <w:rsid w:val="008C74EE"/>
    <w:rsid w:val="008D1A6C"/>
    <w:rsid w:val="008D2754"/>
    <w:rsid w:val="008D4548"/>
    <w:rsid w:val="008D4831"/>
    <w:rsid w:val="008D5CC3"/>
    <w:rsid w:val="008D7A81"/>
    <w:rsid w:val="008D7C18"/>
    <w:rsid w:val="008D7CE9"/>
    <w:rsid w:val="008E1984"/>
    <w:rsid w:val="008E27F0"/>
    <w:rsid w:val="008E4198"/>
    <w:rsid w:val="008E58E5"/>
    <w:rsid w:val="008E637C"/>
    <w:rsid w:val="008E674F"/>
    <w:rsid w:val="008E6F1A"/>
    <w:rsid w:val="008E7843"/>
    <w:rsid w:val="008F029B"/>
    <w:rsid w:val="008F1A1F"/>
    <w:rsid w:val="008F4411"/>
    <w:rsid w:val="008F488C"/>
    <w:rsid w:val="008F48F9"/>
    <w:rsid w:val="008F4B9A"/>
    <w:rsid w:val="008F5CE8"/>
    <w:rsid w:val="008F7809"/>
    <w:rsid w:val="008F7996"/>
    <w:rsid w:val="00900554"/>
    <w:rsid w:val="009014E7"/>
    <w:rsid w:val="009042ED"/>
    <w:rsid w:val="00904D21"/>
    <w:rsid w:val="00904E93"/>
    <w:rsid w:val="00906767"/>
    <w:rsid w:val="00906D26"/>
    <w:rsid w:val="00907DE9"/>
    <w:rsid w:val="00911ADB"/>
    <w:rsid w:val="00911F58"/>
    <w:rsid w:val="0091213C"/>
    <w:rsid w:val="00913232"/>
    <w:rsid w:val="009138E9"/>
    <w:rsid w:val="0091523E"/>
    <w:rsid w:val="00915370"/>
    <w:rsid w:val="00917191"/>
    <w:rsid w:val="00920412"/>
    <w:rsid w:val="00921377"/>
    <w:rsid w:val="00921D69"/>
    <w:rsid w:val="0092548F"/>
    <w:rsid w:val="00925B1A"/>
    <w:rsid w:val="0092625F"/>
    <w:rsid w:val="009267B4"/>
    <w:rsid w:val="00927057"/>
    <w:rsid w:val="009308E6"/>
    <w:rsid w:val="0093227C"/>
    <w:rsid w:val="00933B83"/>
    <w:rsid w:val="00933BFF"/>
    <w:rsid w:val="00933C59"/>
    <w:rsid w:val="0093448F"/>
    <w:rsid w:val="0093491E"/>
    <w:rsid w:val="00934D3E"/>
    <w:rsid w:val="0093507C"/>
    <w:rsid w:val="009370E9"/>
    <w:rsid w:val="00937317"/>
    <w:rsid w:val="00937E19"/>
    <w:rsid w:val="00940543"/>
    <w:rsid w:val="00940681"/>
    <w:rsid w:val="00940D89"/>
    <w:rsid w:val="009421D8"/>
    <w:rsid w:val="009425CD"/>
    <w:rsid w:val="00943167"/>
    <w:rsid w:val="00946071"/>
    <w:rsid w:val="009465A2"/>
    <w:rsid w:val="009475BF"/>
    <w:rsid w:val="00947A0B"/>
    <w:rsid w:val="009501C2"/>
    <w:rsid w:val="0095074D"/>
    <w:rsid w:val="00951CCF"/>
    <w:rsid w:val="00952485"/>
    <w:rsid w:val="009524ED"/>
    <w:rsid w:val="00952C49"/>
    <w:rsid w:val="00953733"/>
    <w:rsid w:val="0095373C"/>
    <w:rsid w:val="00953A51"/>
    <w:rsid w:val="00954474"/>
    <w:rsid w:val="009546F8"/>
    <w:rsid w:val="009573CB"/>
    <w:rsid w:val="00960109"/>
    <w:rsid w:val="00960B50"/>
    <w:rsid w:val="00961FF6"/>
    <w:rsid w:val="00962316"/>
    <w:rsid w:val="00963D15"/>
    <w:rsid w:val="00965F72"/>
    <w:rsid w:val="00967D84"/>
    <w:rsid w:val="00970377"/>
    <w:rsid w:val="0097108A"/>
    <w:rsid w:val="00972131"/>
    <w:rsid w:val="009722B8"/>
    <w:rsid w:val="009741DF"/>
    <w:rsid w:val="00974ACC"/>
    <w:rsid w:val="00974EB1"/>
    <w:rsid w:val="00975314"/>
    <w:rsid w:val="00975A1A"/>
    <w:rsid w:val="00975DA0"/>
    <w:rsid w:val="00975F21"/>
    <w:rsid w:val="00977008"/>
    <w:rsid w:val="0098006E"/>
    <w:rsid w:val="009802B4"/>
    <w:rsid w:val="00980839"/>
    <w:rsid w:val="00981423"/>
    <w:rsid w:val="00981568"/>
    <w:rsid w:val="00981BD1"/>
    <w:rsid w:val="009822F9"/>
    <w:rsid w:val="00982F0A"/>
    <w:rsid w:val="009835DF"/>
    <w:rsid w:val="009836CD"/>
    <w:rsid w:val="009837AC"/>
    <w:rsid w:val="00984001"/>
    <w:rsid w:val="009844B9"/>
    <w:rsid w:val="00984C59"/>
    <w:rsid w:val="00985B4B"/>
    <w:rsid w:val="00986883"/>
    <w:rsid w:val="009868CB"/>
    <w:rsid w:val="009870F3"/>
    <w:rsid w:val="009912FC"/>
    <w:rsid w:val="00992334"/>
    <w:rsid w:val="009952F5"/>
    <w:rsid w:val="00996AE1"/>
    <w:rsid w:val="009970F7"/>
    <w:rsid w:val="00997EF3"/>
    <w:rsid w:val="009A426F"/>
    <w:rsid w:val="009A476A"/>
    <w:rsid w:val="009A602D"/>
    <w:rsid w:val="009A7A30"/>
    <w:rsid w:val="009B1191"/>
    <w:rsid w:val="009B1279"/>
    <w:rsid w:val="009B1EFB"/>
    <w:rsid w:val="009B23C9"/>
    <w:rsid w:val="009B337C"/>
    <w:rsid w:val="009B3AF3"/>
    <w:rsid w:val="009B51B0"/>
    <w:rsid w:val="009B560C"/>
    <w:rsid w:val="009B5F4A"/>
    <w:rsid w:val="009B6B5C"/>
    <w:rsid w:val="009B7B72"/>
    <w:rsid w:val="009B7F95"/>
    <w:rsid w:val="009C0219"/>
    <w:rsid w:val="009C03A6"/>
    <w:rsid w:val="009C109B"/>
    <w:rsid w:val="009C1586"/>
    <w:rsid w:val="009C2AA4"/>
    <w:rsid w:val="009C2D88"/>
    <w:rsid w:val="009C3810"/>
    <w:rsid w:val="009C38DF"/>
    <w:rsid w:val="009C41C6"/>
    <w:rsid w:val="009C4408"/>
    <w:rsid w:val="009C453D"/>
    <w:rsid w:val="009C5485"/>
    <w:rsid w:val="009C6295"/>
    <w:rsid w:val="009C67C7"/>
    <w:rsid w:val="009C682F"/>
    <w:rsid w:val="009C684A"/>
    <w:rsid w:val="009C6E18"/>
    <w:rsid w:val="009D13F3"/>
    <w:rsid w:val="009D24A0"/>
    <w:rsid w:val="009D24C5"/>
    <w:rsid w:val="009D2756"/>
    <w:rsid w:val="009D43EB"/>
    <w:rsid w:val="009D452B"/>
    <w:rsid w:val="009D4599"/>
    <w:rsid w:val="009D7DF0"/>
    <w:rsid w:val="009E0A64"/>
    <w:rsid w:val="009E11A7"/>
    <w:rsid w:val="009E3D43"/>
    <w:rsid w:val="009E5CDA"/>
    <w:rsid w:val="009E7473"/>
    <w:rsid w:val="009E74A5"/>
    <w:rsid w:val="009F4604"/>
    <w:rsid w:val="009F514D"/>
    <w:rsid w:val="009F55DE"/>
    <w:rsid w:val="009F706A"/>
    <w:rsid w:val="00A00069"/>
    <w:rsid w:val="00A0026A"/>
    <w:rsid w:val="00A00C64"/>
    <w:rsid w:val="00A00CF8"/>
    <w:rsid w:val="00A012F3"/>
    <w:rsid w:val="00A01D26"/>
    <w:rsid w:val="00A02D94"/>
    <w:rsid w:val="00A034D0"/>
    <w:rsid w:val="00A03C2B"/>
    <w:rsid w:val="00A0550C"/>
    <w:rsid w:val="00A05E83"/>
    <w:rsid w:val="00A07F80"/>
    <w:rsid w:val="00A1043A"/>
    <w:rsid w:val="00A11D93"/>
    <w:rsid w:val="00A1429F"/>
    <w:rsid w:val="00A14318"/>
    <w:rsid w:val="00A145A2"/>
    <w:rsid w:val="00A14A89"/>
    <w:rsid w:val="00A14BFA"/>
    <w:rsid w:val="00A1633A"/>
    <w:rsid w:val="00A16F3E"/>
    <w:rsid w:val="00A1703F"/>
    <w:rsid w:val="00A200D7"/>
    <w:rsid w:val="00A20A02"/>
    <w:rsid w:val="00A20A6E"/>
    <w:rsid w:val="00A21E8E"/>
    <w:rsid w:val="00A2242F"/>
    <w:rsid w:val="00A232FD"/>
    <w:rsid w:val="00A24088"/>
    <w:rsid w:val="00A25513"/>
    <w:rsid w:val="00A257CC"/>
    <w:rsid w:val="00A25F94"/>
    <w:rsid w:val="00A26138"/>
    <w:rsid w:val="00A26CD5"/>
    <w:rsid w:val="00A2758F"/>
    <w:rsid w:val="00A3199D"/>
    <w:rsid w:val="00A34AFD"/>
    <w:rsid w:val="00A34E96"/>
    <w:rsid w:val="00A35C88"/>
    <w:rsid w:val="00A37F56"/>
    <w:rsid w:val="00A40076"/>
    <w:rsid w:val="00A40CF9"/>
    <w:rsid w:val="00A40F95"/>
    <w:rsid w:val="00A4139A"/>
    <w:rsid w:val="00A42919"/>
    <w:rsid w:val="00A433F6"/>
    <w:rsid w:val="00A43AB3"/>
    <w:rsid w:val="00A441E3"/>
    <w:rsid w:val="00A453C1"/>
    <w:rsid w:val="00A4673B"/>
    <w:rsid w:val="00A46A1E"/>
    <w:rsid w:val="00A474D2"/>
    <w:rsid w:val="00A47AFA"/>
    <w:rsid w:val="00A5105D"/>
    <w:rsid w:val="00A5136E"/>
    <w:rsid w:val="00A51F58"/>
    <w:rsid w:val="00A527EF"/>
    <w:rsid w:val="00A52BCA"/>
    <w:rsid w:val="00A534E5"/>
    <w:rsid w:val="00A54AD0"/>
    <w:rsid w:val="00A56296"/>
    <w:rsid w:val="00A56CA9"/>
    <w:rsid w:val="00A56D7E"/>
    <w:rsid w:val="00A5747A"/>
    <w:rsid w:val="00A57EE6"/>
    <w:rsid w:val="00A6048F"/>
    <w:rsid w:val="00A606AE"/>
    <w:rsid w:val="00A617D5"/>
    <w:rsid w:val="00A6246F"/>
    <w:rsid w:val="00A626C6"/>
    <w:rsid w:val="00A632FE"/>
    <w:rsid w:val="00A63788"/>
    <w:rsid w:val="00A6465E"/>
    <w:rsid w:val="00A650D6"/>
    <w:rsid w:val="00A656D3"/>
    <w:rsid w:val="00A672CD"/>
    <w:rsid w:val="00A70179"/>
    <w:rsid w:val="00A702E6"/>
    <w:rsid w:val="00A7266C"/>
    <w:rsid w:val="00A72C87"/>
    <w:rsid w:val="00A72FDA"/>
    <w:rsid w:val="00A7589B"/>
    <w:rsid w:val="00A76810"/>
    <w:rsid w:val="00A76C8B"/>
    <w:rsid w:val="00A80BBB"/>
    <w:rsid w:val="00A828AE"/>
    <w:rsid w:val="00A84CBC"/>
    <w:rsid w:val="00A84E42"/>
    <w:rsid w:val="00A8557E"/>
    <w:rsid w:val="00A85CF9"/>
    <w:rsid w:val="00A87B94"/>
    <w:rsid w:val="00A90466"/>
    <w:rsid w:val="00A93423"/>
    <w:rsid w:val="00A94828"/>
    <w:rsid w:val="00A94FF9"/>
    <w:rsid w:val="00A958AF"/>
    <w:rsid w:val="00A95A2A"/>
    <w:rsid w:val="00A95B2E"/>
    <w:rsid w:val="00A96642"/>
    <w:rsid w:val="00A967D2"/>
    <w:rsid w:val="00A96A33"/>
    <w:rsid w:val="00A96C84"/>
    <w:rsid w:val="00A97664"/>
    <w:rsid w:val="00A97BD2"/>
    <w:rsid w:val="00AA08F7"/>
    <w:rsid w:val="00AA1209"/>
    <w:rsid w:val="00AA19E7"/>
    <w:rsid w:val="00AA262F"/>
    <w:rsid w:val="00AA3DDF"/>
    <w:rsid w:val="00AA42D9"/>
    <w:rsid w:val="00AA441C"/>
    <w:rsid w:val="00AA4C77"/>
    <w:rsid w:val="00AA4F94"/>
    <w:rsid w:val="00AA6500"/>
    <w:rsid w:val="00AA7008"/>
    <w:rsid w:val="00AA7A37"/>
    <w:rsid w:val="00AB0324"/>
    <w:rsid w:val="00AB0627"/>
    <w:rsid w:val="00AB480E"/>
    <w:rsid w:val="00AB4815"/>
    <w:rsid w:val="00AB4D62"/>
    <w:rsid w:val="00AB5C37"/>
    <w:rsid w:val="00AB5CE3"/>
    <w:rsid w:val="00AB60CF"/>
    <w:rsid w:val="00AB688A"/>
    <w:rsid w:val="00AB7C8E"/>
    <w:rsid w:val="00AC077B"/>
    <w:rsid w:val="00AC0CE0"/>
    <w:rsid w:val="00AC1948"/>
    <w:rsid w:val="00AC2108"/>
    <w:rsid w:val="00AC233D"/>
    <w:rsid w:val="00AC490E"/>
    <w:rsid w:val="00AC65B9"/>
    <w:rsid w:val="00AC6910"/>
    <w:rsid w:val="00AC7667"/>
    <w:rsid w:val="00AC76D2"/>
    <w:rsid w:val="00AC787C"/>
    <w:rsid w:val="00AD3AC4"/>
    <w:rsid w:val="00AD44D5"/>
    <w:rsid w:val="00AD4D03"/>
    <w:rsid w:val="00AD7DA9"/>
    <w:rsid w:val="00AE2324"/>
    <w:rsid w:val="00AE2A1C"/>
    <w:rsid w:val="00AE3030"/>
    <w:rsid w:val="00AE31D0"/>
    <w:rsid w:val="00AE533F"/>
    <w:rsid w:val="00AE58B4"/>
    <w:rsid w:val="00AE67A8"/>
    <w:rsid w:val="00AE7BB5"/>
    <w:rsid w:val="00AE7EB7"/>
    <w:rsid w:val="00AF0AA5"/>
    <w:rsid w:val="00AF16BB"/>
    <w:rsid w:val="00AF2039"/>
    <w:rsid w:val="00AF243A"/>
    <w:rsid w:val="00AF4A82"/>
    <w:rsid w:val="00AF51B3"/>
    <w:rsid w:val="00AF6F02"/>
    <w:rsid w:val="00B00572"/>
    <w:rsid w:val="00B00EE3"/>
    <w:rsid w:val="00B0142D"/>
    <w:rsid w:val="00B05BEE"/>
    <w:rsid w:val="00B06727"/>
    <w:rsid w:val="00B07CD0"/>
    <w:rsid w:val="00B07D37"/>
    <w:rsid w:val="00B07F6C"/>
    <w:rsid w:val="00B10525"/>
    <w:rsid w:val="00B1060B"/>
    <w:rsid w:val="00B10840"/>
    <w:rsid w:val="00B10FE5"/>
    <w:rsid w:val="00B1179A"/>
    <w:rsid w:val="00B11A72"/>
    <w:rsid w:val="00B11B7B"/>
    <w:rsid w:val="00B1216B"/>
    <w:rsid w:val="00B1629D"/>
    <w:rsid w:val="00B174DF"/>
    <w:rsid w:val="00B176EA"/>
    <w:rsid w:val="00B17935"/>
    <w:rsid w:val="00B1799B"/>
    <w:rsid w:val="00B20667"/>
    <w:rsid w:val="00B2192C"/>
    <w:rsid w:val="00B21984"/>
    <w:rsid w:val="00B21A26"/>
    <w:rsid w:val="00B21D59"/>
    <w:rsid w:val="00B255A2"/>
    <w:rsid w:val="00B27368"/>
    <w:rsid w:val="00B3023A"/>
    <w:rsid w:val="00B31601"/>
    <w:rsid w:val="00B32424"/>
    <w:rsid w:val="00B33311"/>
    <w:rsid w:val="00B33405"/>
    <w:rsid w:val="00B33417"/>
    <w:rsid w:val="00B33A1F"/>
    <w:rsid w:val="00B3402C"/>
    <w:rsid w:val="00B3559B"/>
    <w:rsid w:val="00B362FD"/>
    <w:rsid w:val="00B36F8E"/>
    <w:rsid w:val="00B375EF"/>
    <w:rsid w:val="00B37687"/>
    <w:rsid w:val="00B37907"/>
    <w:rsid w:val="00B40DC3"/>
    <w:rsid w:val="00B40F6D"/>
    <w:rsid w:val="00B4124C"/>
    <w:rsid w:val="00B417E8"/>
    <w:rsid w:val="00B419FC"/>
    <w:rsid w:val="00B434ED"/>
    <w:rsid w:val="00B440D6"/>
    <w:rsid w:val="00B44423"/>
    <w:rsid w:val="00B44747"/>
    <w:rsid w:val="00B459C9"/>
    <w:rsid w:val="00B507F0"/>
    <w:rsid w:val="00B50CF8"/>
    <w:rsid w:val="00B52621"/>
    <w:rsid w:val="00B55289"/>
    <w:rsid w:val="00B553C9"/>
    <w:rsid w:val="00B55663"/>
    <w:rsid w:val="00B55665"/>
    <w:rsid w:val="00B55C25"/>
    <w:rsid w:val="00B574A6"/>
    <w:rsid w:val="00B578BB"/>
    <w:rsid w:val="00B57CBA"/>
    <w:rsid w:val="00B60C45"/>
    <w:rsid w:val="00B6142B"/>
    <w:rsid w:val="00B61E5D"/>
    <w:rsid w:val="00B62DA7"/>
    <w:rsid w:val="00B65BC9"/>
    <w:rsid w:val="00B66123"/>
    <w:rsid w:val="00B67F6C"/>
    <w:rsid w:val="00B71726"/>
    <w:rsid w:val="00B71EE6"/>
    <w:rsid w:val="00B72C32"/>
    <w:rsid w:val="00B72D48"/>
    <w:rsid w:val="00B72EF5"/>
    <w:rsid w:val="00B73BBA"/>
    <w:rsid w:val="00B7423E"/>
    <w:rsid w:val="00B74420"/>
    <w:rsid w:val="00B75E7D"/>
    <w:rsid w:val="00B76120"/>
    <w:rsid w:val="00B773B1"/>
    <w:rsid w:val="00B77A11"/>
    <w:rsid w:val="00B80B9B"/>
    <w:rsid w:val="00B81F21"/>
    <w:rsid w:val="00B83EAE"/>
    <w:rsid w:val="00B84FBE"/>
    <w:rsid w:val="00B86186"/>
    <w:rsid w:val="00B86B68"/>
    <w:rsid w:val="00B87508"/>
    <w:rsid w:val="00B87F44"/>
    <w:rsid w:val="00B92431"/>
    <w:rsid w:val="00B92DA3"/>
    <w:rsid w:val="00B947CE"/>
    <w:rsid w:val="00B9747A"/>
    <w:rsid w:val="00B97686"/>
    <w:rsid w:val="00BA1F12"/>
    <w:rsid w:val="00BA263C"/>
    <w:rsid w:val="00BA2EA6"/>
    <w:rsid w:val="00BA40DE"/>
    <w:rsid w:val="00BA480A"/>
    <w:rsid w:val="00BA6ABD"/>
    <w:rsid w:val="00BA6FF1"/>
    <w:rsid w:val="00BA7BE2"/>
    <w:rsid w:val="00BB0725"/>
    <w:rsid w:val="00BB09E1"/>
    <w:rsid w:val="00BB17BA"/>
    <w:rsid w:val="00BB34FA"/>
    <w:rsid w:val="00BB37D3"/>
    <w:rsid w:val="00BB5C09"/>
    <w:rsid w:val="00BB6687"/>
    <w:rsid w:val="00BC16EC"/>
    <w:rsid w:val="00BC378D"/>
    <w:rsid w:val="00BC3D5F"/>
    <w:rsid w:val="00BC47E4"/>
    <w:rsid w:val="00BC5100"/>
    <w:rsid w:val="00BC55C9"/>
    <w:rsid w:val="00BC588F"/>
    <w:rsid w:val="00BC5A67"/>
    <w:rsid w:val="00BC747D"/>
    <w:rsid w:val="00BD2211"/>
    <w:rsid w:val="00BD2A21"/>
    <w:rsid w:val="00BD2DDE"/>
    <w:rsid w:val="00BD2F76"/>
    <w:rsid w:val="00BD3599"/>
    <w:rsid w:val="00BD4684"/>
    <w:rsid w:val="00BD4B46"/>
    <w:rsid w:val="00BD5F2C"/>
    <w:rsid w:val="00BD69FF"/>
    <w:rsid w:val="00BE02FD"/>
    <w:rsid w:val="00BE2B8E"/>
    <w:rsid w:val="00BE5083"/>
    <w:rsid w:val="00BE728E"/>
    <w:rsid w:val="00BE7DCD"/>
    <w:rsid w:val="00BF0162"/>
    <w:rsid w:val="00BF1108"/>
    <w:rsid w:val="00BF2017"/>
    <w:rsid w:val="00BF2762"/>
    <w:rsid w:val="00BF37BB"/>
    <w:rsid w:val="00BF5261"/>
    <w:rsid w:val="00BF5E0D"/>
    <w:rsid w:val="00BF6FA1"/>
    <w:rsid w:val="00BF70F1"/>
    <w:rsid w:val="00BF7925"/>
    <w:rsid w:val="00C005E7"/>
    <w:rsid w:val="00C0161F"/>
    <w:rsid w:val="00C01674"/>
    <w:rsid w:val="00C01ABF"/>
    <w:rsid w:val="00C02F48"/>
    <w:rsid w:val="00C040E8"/>
    <w:rsid w:val="00C04566"/>
    <w:rsid w:val="00C04F42"/>
    <w:rsid w:val="00C05F35"/>
    <w:rsid w:val="00C06469"/>
    <w:rsid w:val="00C06580"/>
    <w:rsid w:val="00C07E37"/>
    <w:rsid w:val="00C1083F"/>
    <w:rsid w:val="00C11645"/>
    <w:rsid w:val="00C14312"/>
    <w:rsid w:val="00C1576B"/>
    <w:rsid w:val="00C15F7D"/>
    <w:rsid w:val="00C1704F"/>
    <w:rsid w:val="00C171B0"/>
    <w:rsid w:val="00C17E32"/>
    <w:rsid w:val="00C21FDC"/>
    <w:rsid w:val="00C23A45"/>
    <w:rsid w:val="00C24929"/>
    <w:rsid w:val="00C25732"/>
    <w:rsid w:val="00C259A9"/>
    <w:rsid w:val="00C261E5"/>
    <w:rsid w:val="00C27C6B"/>
    <w:rsid w:val="00C30421"/>
    <w:rsid w:val="00C31192"/>
    <w:rsid w:val="00C31285"/>
    <w:rsid w:val="00C31396"/>
    <w:rsid w:val="00C332F3"/>
    <w:rsid w:val="00C333BD"/>
    <w:rsid w:val="00C345CA"/>
    <w:rsid w:val="00C37E04"/>
    <w:rsid w:val="00C40E7D"/>
    <w:rsid w:val="00C41468"/>
    <w:rsid w:val="00C4286D"/>
    <w:rsid w:val="00C42D84"/>
    <w:rsid w:val="00C44979"/>
    <w:rsid w:val="00C44FE4"/>
    <w:rsid w:val="00C4601C"/>
    <w:rsid w:val="00C464DC"/>
    <w:rsid w:val="00C51799"/>
    <w:rsid w:val="00C51B49"/>
    <w:rsid w:val="00C533C5"/>
    <w:rsid w:val="00C536B2"/>
    <w:rsid w:val="00C55ABF"/>
    <w:rsid w:val="00C57EAA"/>
    <w:rsid w:val="00C60125"/>
    <w:rsid w:val="00C608F0"/>
    <w:rsid w:val="00C60C31"/>
    <w:rsid w:val="00C62165"/>
    <w:rsid w:val="00C62A6D"/>
    <w:rsid w:val="00C630A1"/>
    <w:rsid w:val="00C638EE"/>
    <w:rsid w:val="00C652D0"/>
    <w:rsid w:val="00C66FCF"/>
    <w:rsid w:val="00C6758D"/>
    <w:rsid w:val="00C67AD1"/>
    <w:rsid w:val="00C70631"/>
    <w:rsid w:val="00C70823"/>
    <w:rsid w:val="00C72D5F"/>
    <w:rsid w:val="00C74854"/>
    <w:rsid w:val="00C7487C"/>
    <w:rsid w:val="00C75B0D"/>
    <w:rsid w:val="00C80842"/>
    <w:rsid w:val="00C80F30"/>
    <w:rsid w:val="00C84260"/>
    <w:rsid w:val="00C85738"/>
    <w:rsid w:val="00C864B8"/>
    <w:rsid w:val="00C86F73"/>
    <w:rsid w:val="00C8712A"/>
    <w:rsid w:val="00C90201"/>
    <w:rsid w:val="00C90F95"/>
    <w:rsid w:val="00C912D0"/>
    <w:rsid w:val="00C91426"/>
    <w:rsid w:val="00C918F1"/>
    <w:rsid w:val="00C91BB9"/>
    <w:rsid w:val="00C928E4"/>
    <w:rsid w:val="00C94379"/>
    <w:rsid w:val="00C9571C"/>
    <w:rsid w:val="00C95B8F"/>
    <w:rsid w:val="00C97084"/>
    <w:rsid w:val="00C97BD9"/>
    <w:rsid w:val="00CA04AF"/>
    <w:rsid w:val="00CA15ED"/>
    <w:rsid w:val="00CA1AA9"/>
    <w:rsid w:val="00CA3589"/>
    <w:rsid w:val="00CA5F08"/>
    <w:rsid w:val="00CA6210"/>
    <w:rsid w:val="00CB1206"/>
    <w:rsid w:val="00CB16F6"/>
    <w:rsid w:val="00CB205A"/>
    <w:rsid w:val="00CB32A3"/>
    <w:rsid w:val="00CB37AA"/>
    <w:rsid w:val="00CB3B15"/>
    <w:rsid w:val="00CB3F0E"/>
    <w:rsid w:val="00CB4623"/>
    <w:rsid w:val="00CB46C7"/>
    <w:rsid w:val="00CB5319"/>
    <w:rsid w:val="00CB57C9"/>
    <w:rsid w:val="00CB6EA1"/>
    <w:rsid w:val="00CB7A36"/>
    <w:rsid w:val="00CC01E4"/>
    <w:rsid w:val="00CC0225"/>
    <w:rsid w:val="00CC0D00"/>
    <w:rsid w:val="00CC13DD"/>
    <w:rsid w:val="00CC1C24"/>
    <w:rsid w:val="00CC296A"/>
    <w:rsid w:val="00CC2F26"/>
    <w:rsid w:val="00CC3351"/>
    <w:rsid w:val="00CC3942"/>
    <w:rsid w:val="00CC45B9"/>
    <w:rsid w:val="00CC464D"/>
    <w:rsid w:val="00CC57ED"/>
    <w:rsid w:val="00CC5BE5"/>
    <w:rsid w:val="00CC5F99"/>
    <w:rsid w:val="00CC6BF5"/>
    <w:rsid w:val="00CC7C5F"/>
    <w:rsid w:val="00CD1E0C"/>
    <w:rsid w:val="00CD37CC"/>
    <w:rsid w:val="00CE00C6"/>
    <w:rsid w:val="00CE089C"/>
    <w:rsid w:val="00CE1A7E"/>
    <w:rsid w:val="00CE2052"/>
    <w:rsid w:val="00CE246D"/>
    <w:rsid w:val="00CE4125"/>
    <w:rsid w:val="00CE4F03"/>
    <w:rsid w:val="00CE5E66"/>
    <w:rsid w:val="00CE62F4"/>
    <w:rsid w:val="00CE6386"/>
    <w:rsid w:val="00CF0B00"/>
    <w:rsid w:val="00CF14CB"/>
    <w:rsid w:val="00CF15D5"/>
    <w:rsid w:val="00CF37DE"/>
    <w:rsid w:val="00CF5CFA"/>
    <w:rsid w:val="00D03A6C"/>
    <w:rsid w:val="00D04779"/>
    <w:rsid w:val="00D051B3"/>
    <w:rsid w:val="00D061BC"/>
    <w:rsid w:val="00D06640"/>
    <w:rsid w:val="00D07F8F"/>
    <w:rsid w:val="00D1030B"/>
    <w:rsid w:val="00D10B99"/>
    <w:rsid w:val="00D11D58"/>
    <w:rsid w:val="00D12227"/>
    <w:rsid w:val="00D12944"/>
    <w:rsid w:val="00D12F75"/>
    <w:rsid w:val="00D13EF2"/>
    <w:rsid w:val="00D143C4"/>
    <w:rsid w:val="00D1530D"/>
    <w:rsid w:val="00D17F53"/>
    <w:rsid w:val="00D2045E"/>
    <w:rsid w:val="00D21636"/>
    <w:rsid w:val="00D2331A"/>
    <w:rsid w:val="00D23F04"/>
    <w:rsid w:val="00D2411D"/>
    <w:rsid w:val="00D2460D"/>
    <w:rsid w:val="00D2467C"/>
    <w:rsid w:val="00D24883"/>
    <w:rsid w:val="00D24941"/>
    <w:rsid w:val="00D310BF"/>
    <w:rsid w:val="00D31558"/>
    <w:rsid w:val="00D327CC"/>
    <w:rsid w:val="00D33AE7"/>
    <w:rsid w:val="00D33D55"/>
    <w:rsid w:val="00D33D77"/>
    <w:rsid w:val="00D343A3"/>
    <w:rsid w:val="00D3447C"/>
    <w:rsid w:val="00D34943"/>
    <w:rsid w:val="00D35454"/>
    <w:rsid w:val="00D37569"/>
    <w:rsid w:val="00D418C7"/>
    <w:rsid w:val="00D441AE"/>
    <w:rsid w:val="00D4502C"/>
    <w:rsid w:val="00D45054"/>
    <w:rsid w:val="00D46AE4"/>
    <w:rsid w:val="00D477B1"/>
    <w:rsid w:val="00D47ACE"/>
    <w:rsid w:val="00D502B2"/>
    <w:rsid w:val="00D50DB4"/>
    <w:rsid w:val="00D5258E"/>
    <w:rsid w:val="00D53153"/>
    <w:rsid w:val="00D53555"/>
    <w:rsid w:val="00D53E41"/>
    <w:rsid w:val="00D5406C"/>
    <w:rsid w:val="00D55117"/>
    <w:rsid w:val="00D5774F"/>
    <w:rsid w:val="00D604FD"/>
    <w:rsid w:val="00D6094B"/>
    <w:rsid w:val="00D62DD9"/>
    <w:rsid w:val="00D62FE5"/>
    <w:rsid w:val="00D63B1B"/>
    <w:rsid w:val="00D63B52"/>
    <w:rsid w:val="00D64046"/>
    <w:rsid w:val="00D646BB"/>
    <w:rsid w:val="00D65DA8"/>
    <w:rsid w:val="00D669CD"/>
    <w:rsid w:val="00D66F57"/>
    <w:rsid w:val="00D67C8C"/>
    <w:rsid w:val="00D728FE"/>
    <w:rsid w:val="00D742DD"/>
    <w:rsid w:val="00D80A2F"/>
    <w:rsid w:val="00D82941"/>
    <w:rsid w:val="00D82AD3"/>
    <w:rsid w:val="00D82E68"/>
    <w:rsid w:val="00D83052"/>
    <w:rsid w:val="00D83075"/>
    <w:rsid w:val="00D84163"/>
    <w:rsid w:val="00D85A7B"/>
    <w:rsid w:val="00D87BCD"/>
    <w:rsid w:val="00D90B97"/>
    <w:rsid w:val="00D90FA0"/>
    <w:rsid w:val="00D91AD9"/>
    <w:rsid w:val="00D923CB"/>
    <w:rsid w:val="00D92642"/>
    <w:rsid w:val="00D9381E"/>
    <w:rsid w:val="00D943C7"/>
    <w:rsid w:val="00D94920"/>
    <w:rsid w:val="00D950F4"/>
    <w:rsid w:val="00D96778"/>
    <w:rsid w:val="00DA0DAB"/>
    <w:rsid w:val="00DA130D"/>
    <w:rsid w:val="00DA296F"/>
    <w:rsid w:val="00DA3AFD"/>
    <w:rsid w:val="00DA4211"/>
    <w:rsid w:val="00DA474E"/>
    <w:rsid w:val="00DA49A6"/>
    <w:rsid w:val="00DA5966"/>
    <w:rsid w:val="00DA7631"/>
    <w:rsid w:val="00DA797B"/>
    <w:rsid w:val="00DA7BCF"/>
    <w:rsid w:val="00DB2BDD"/>
    <w:rsid w:val="00DB481F"/>
    <w:rsid w:val="00DB525A"/>
    <w:rsid w:val="00DB5C3A"/>
    <w:rsid w:val="00DB766D"/>
    <w:rsid w:val="00DC09C9"/>
    <w:rsid w:val="00DC5936"/>
    <w:rsid w:val="00DC6FEB"/>
    <w:rsid w:val="00DC7577"/>
    <w:rsid w:val="00DC767F"/>
    <w:rsid w:val="00DD0348"/>
    <w:rsid w:val="00DD0529"/>
    <w:rsid w:val="00DD06A7"/>
    <w:rsid w:val="00DD0CD1"/>
    <w:rsid w:val="00DD12CA"/>
    <w:rsid w:val="00DD293A"/>
    <w:rsid w:val="00DD42ED"/>
    <w:rsid w:val="00DD4A00"/>
    <w:rsid w:val="00DD4A55"/>
    <w:rsid w:val="00DD6997"/>
    <w:rsid w:val="00DD7789"/>
    <w:rsid w:val="00DE0680"/>
    <w:rsid w:val="00DE17FD"/>
    <w:rsid w:val="00DE1E8D"/>
    <w:rsid w:val="00DE1FBB"/>
    <w:rsid w:val="00DE3841"/>
    <w:rsid w:val="00DE50D5"/>
    <w:rsid w:val="00DE5211"/>
    <w:rsid w:val="00DE6E29"/>
    <w:rsid w:val="00DF0A9B"/>
    <w:rsid w:val="00DF12E0"/>
    <w:rsid w:val="00DF1D7C"/>
    <w:rsid w:val="00DF4C92"/>
    <w:rsid w:val="00DF5683"/>
    <w:rsid w:val="00DF5F83"/>
    <w:rsid w:val="00DF627D"/>
    <w:rsid w:val="00DF6403"/>
    <w:rsid w:val="00DF7EC4"/>
    <w:rsid w:val="00E04B03"/>
    <w:rsid w:val="00E05738"/>
    <w:rsid w:val="00E06186"/>
    <w:rsid w:val="00E06C88"/>
    <w:rsid w:val="00E10EE4"/>
    <w:rsid w:val="00E12365"/>
    <w:rsid w:val="00E125C1"/>
    <w:rsid w:val="00E128AD"/>
    <w:rsid w:val="00E13163"/>
    <w:rsid w:val="00E13A0B"/>
    <w:rsid w:val="00E13FDC"/>
    <w:rsid w:val="00E1478E"/>
    <w:rsid w:val="00E15E98"/>
    <w:rsid w:val="00E169CE"/>
    <w:rsid w:val="00E169D0"/>
    <w:rsid w:val="00E179AC"/>
    <w:rsid w:val="00E200B1"/>
    <w:rsid w:val="00E2048C"/>
    <w:rsid w:val="00E21CC4"/>
    <w:rsid w:val="00E25EA3"/>
    <w:rsid w:val="00E26BBB"/>
    <w:rsid w:val="00E302C1"/>
    <w:rsid w:val="00E3066B"/>
    <w:rsid w:val="00E31345"/>
    <w:rsid w:val="00E313C3"/>
    <w:rsid w:val="00E319D0"/>
    <w:rsid w:val="00E329C7"/>
    <w:rsid w:val="00E32A89"/>
    <w:rsid w:val="00E32B54"/>
    <w:rsid w:val="00E3366A"/>
    <w:rsid w:val="00E348AF"/>
    <w:rsid w:val="00E34C99"/>
    <w:rsid w:val="00E37169"/>
    <w:rsid w:val="00E37E39"/>
    <w:rsid w:val="00E40158"/>
    <w:rsid w:val="00E40C17"/>
    <w:rsid w:val="00E40FF9"/>
    <w:rsid w:val="00E42C7F"/>
    <w:rsid w:val="00E45FF9"/>
    <w:rsid w:val="00E471C1"/>
    <w:rsid w:val="00E509FB"/>
    <w:rsid w:val="00E50A51"/>
    <w:rsid w:val="00E50C67"/>
    <w:rsid w:val="00E515B3"/>
    <w:rsid w:val="00E519CF"/>
    <w:rsid w:val="00E52120"/>
    <w:rsid w:val="00E52310"/>
    <w:rsid w:val="00E52C25"/>
    <w:rsid w:val="00E54B40"/>
    <w:rsid w:val="00E54C0F"/>
    <w:rsid w:val="00E54E0C"/>
    <w:rsid w:val="00E555CF"/>
    <w:rsid w:val="00E55B27"/>
    <w:rsid w:val="00E55BCF"/>
    <w:rsid w:val="00E5635E"/>
    <w:rsid w:val="00E572EA"/>
    <w:rsid w:val="00E61D42"/>
    <w:rsid w:val="00E62769"/>
    <w:rsid w:val="00E6391F"/>
    <w:rsid w:val="00E64753"/>
    <w:rsid w:val="00E6519D"/>
    <w:rsid w:val="00E654A6"/>
    <w:rsid w:val="00E65868"/>
    <w:rsid w:val="00E6650B"/>
    <w:rsid w:val="00E66AC2"/>
    <w:rsid w:val="00E67BFB"/>
    <w:rsid w:val="00E70B54"/>
    <w:rsid w:val="00E71281"/>
    <w:rsid w:val="00E722FC"/>
    <w:rsid w:val="00E73489"/>
    <w:rsid w:val="00E73920"/>
    <w:rsid w:val="00E73C53"/>
    <w:rsid w:val="00E751E7"/>
    <w:rsid w:val="00E7562D"/>
    <w:rsid w:val="00E764E4"/>
    <w:rsid w:val="00E77F5A"/>
    <w:rsid w:val="00E77F98"/>
    <w:rsid w:val="00E80A99"/>
    <w:rsid w:val="00E8165E"/>
    <w:rsid w:val="00E81800"/>
    <w:rsid w:val="00E823F8"/>
    <w:rsid w:val="00E829A9"/>
    <w:rsid w:val="00E8314D"/>
    <w:rsid w:val="00E84761"/>
    <w:rsid w:val="00E8495A"/>
    <w:rsid w:val="00E84A10"/>
    <w:rsid w:val="00E84AEA"/>
    <w:rsid w:val="00E8629A"/>
    <w:rsid w:val="00E90323"/>
    <w:rsid w:val="00E906D2"/>
    <w:rsid w:val="00E907C2"/>
    <w:rsid w:val="00E91EE0"/>
    <w:rsid w:val="00E93B05"/>
    <w:rsid w:val="00E94317"/>
    <w:rsid w:val="00E94790"/>
    <w:rsid w:val="00E9768B"/>
    <w:rsid w:val="00E97982"/>
    <w:rsid w:val="00E97D9C"/>
    <w:rsid w:val="00EA1DD0"/>
    <w:rsid w:val="00EA2267"/>
    <w:rsid w:val="00EA2DBF"/>
    <w:rsid w:val="00EA3620"/>
    <w:rsid w:val="00EA4918"/>
    <w:rsid w:val="00EA4B43"/>
    <w:rsid w:val="00EA567B"/>
    <w:rsid w:val="00EA5AFA"/>
    <w:rsid w:val="00EA6ACF"/>
    <w:rsid w:val="00EA6D68"/>
    <w:rsid w:val="00EA730F"/>
    <w:rsid w:val="00EA75FD"/>
    <w:rsid w:val="00EA7DB6"/>
    <w:rsid w:val="00EB016B"/>
    <w:rsid w:val="00EB0529"/>
    <w:rsid w:val="00EB1601"/>
    <w:rsid w:val="00EB1E01"/>
    <w:rsid w:val="00EB2936"/>
    <w:rsid w:val="00EB30DD"/>
    <w:rsid w:val="00EB4249"/>
    <w:rsid w:val="00EB5216"/>
    <w:rsid w:val="00EB5E48"/>
    <w:rsid w:val="00EC037C"/>
    <w:rsid w:val="00EC08A5"/>
    <w:rsid w:val="00EC192F"/>
    <w:rsid w:val="00EC2C91"/>
    <w:rsid w:val="00EC2DF1"/>
    <w:rsid w:val="00EC4801"/>
    <w:rsid w:val="00EC52D2"/>
    <w:rsid w:val="00EC535C"/>
    <w:rsid w:val="00EC5876"/>
    <w:rsid w:val="00EC62E8"/>
    <w:rsid w:val="00ED0964"/>
    <w:rsid w:val="00ED16B5"/>
    <w:rsid w:val="00ED19FB"/>
    <w:rsid w:val="00ED28DD"/>
    <w:rsid w:val="00ED4271"/>
    <w:rsid w:val="00ED6C5F"/>
    <w:rsid w:val="00ED6E2C"/>
    <w:rsid w:val="00ED7283"/>
    <w:rsid w:val="00ED7364"/>
    <w:rsid w:val="00ED7888"/>
    <w:rsid w:val="00EE2009"/>
    <w:rsid w:val="00EE2C2E"/>
    <w:rsid w:val="00EE52C5"/>
    <w:rsid w:val="00EE6B14"/>
    <w:rsid w:val="00EE6D11"/>
    <w:rsid w:val="00EE6E83"/>
    <w:rsid w:val="00EE755E"/>
    <w:rsid w:val="00EE7700"/>
    <w:rsid w:val="00EF0358"/>
    <w:rsid w:val="00EF0CEF"/>
    <w:rsid w:val="00EF10B2"/>
    <w:rsid w:val="00EF2FD5"/>
    <w:rsid w:val="00EF317C"/>
    <w:rsid w:val="00EF3978"/>
    <w:rsid w:val="00EF5655"/>
    <w:rsid w:val="00EF5A81"/>
    <w:rsid w:val="00EF6CD0"/>
    <w:rsid w:val="00EF7BCF"/>
    <w:rsid w:val="00F02EA7"/>
    <w:rsid w:val="00F04114"/>
    <w:rsid w:val="00F04629"/>
    <w:rsid w:val="00F04634"/>
    <w:rsid w:val="00F06548"/>
    <w:rsid w:val="00F06854"/>
    <w:rsid w:val="00F06B72"/>
    <w:rsid w:val="00F07399"/>
    <w:rsid w:val="00F07BAB"/>
    <w:rsid w:val="00F10625"/>
    <w:rsid w:val="00F11F43"/>
    <w:rsid w:val="00F12980"/>
    <w:rsid w:val="00F12C44"/>
    <w:rsid w:val="00F131B9"/>
    <w:rsid w:val="00F13711"/>
    <w:rsid w:val="00F13C41"/>
    <w:rsid w:val="00F14F64"/>
    <w:rsid w:val="00F15047"/>
    <w:rsid w:val="00F15E14"/>
    <w:rsid w:val="00F160B9"/>
    <w:rsid w:val="00F16E0E"/>
    <w:rsid w:val="00F16F98"/>
    <w:rsid w:val="00F211AE"/>
    <w:rsid w:val="00F2171E"/>
    <w:rsid w:val="00F22B4A"/>
    <w:rsid w:val="00F2479D"/>
    <w:rsid w:val="00F268FC"/>
    <w:rsid w:val="00F26A17"/>
    <w:rsid w:val="00F26A8E"/>
    <w:rsid w:val="00F26C0C"/>
    <w:rsid w:val="00F270C9"/>
    <w:rsid w:val="00F329C7"/>
    <w:rsid w:val="00F34046"/>
    <w:rsid w:val="00F34064"/>
    <w:rsid w:val="00F34B1D"/>
    <w:rsid w:val="00F35BC9"/>
    <w:rsid w:val="00F372B2"/>
    <w:rsid w:val="00F37FCC"/>
    <w:rsid w:val="00F40BAD"/>
    <w:rsid w:val="00F42B0E"/>
    <w:rsid w:val="00F432EB"/>
    <w:rsid w:val="00F444F3"/>
    <w:rsid w:val="00F44954"/>
    <w:rsid w:val="00F44CEA"/>
    <w:rsid w:val="00F454F2"/>
    <w:rsid w:val="00F51CD1"/>
    <w:rsid w:val="00F52648"/>
    <w:rsid w:val="00F533D7"/>
    <w:rsid w:val="00F5367F"/>
    <w:rsid w:val="00F56075"/>
    <w:rsid w:val="00F57EE7"/>
    <w:rsid w:val="00F61AC0"/>
    <w:rsid w:val="00F62CAB"/>
    <w:rsid w:val="00F63138"/>
    <w:rsid w:val="00F63A46"/>
    <w:rsid w:val="00F64120"/>
    <w:rsid w:val="00F64B71"/>
    <w:rsid w:val="00F66C80"/>
    <w:rsid w:val="00F678CC"/>
    <w:rsid w:val="00F70877"/>
    <w:rsid w:val="00F71163"/>
    <w:rsid w:val="00F726CF"/>
    <w:rsid w:val="00F72E79"/>
    <w:rsid w:val="00F7397D"/>
    <w:rsid w:val="00F73BD6"/>
    <w:rsid w:val="00F754F3"/>
    <w:rsid w:val="00F7561A"/>
    <w:rsid w:val="00F8113C"/>
    <w:rsid w:val="00F81758"/>
    <w:rsid w:val="00F82623"/>
    <w:rsid w:val="00F85296"/>
    <w:rsid w:val="00F85F7B"/>
    <w:rsid w:val="00F8614B"/>
    <w:rsid w:val="00F867CE"/>
    <w:rsid w:val="00F874AE"/>
    <w:rsid w:val="00F902B4"/>
    <w:rsid w:val="00F90913"/>
    <w:rsid w:val="00F92F16"/>
    <w:rsid w:val="00F93828"/>
    <w:rsid w:val="00F95236"/>
    <w:rsid w:val="00F95FE1"/>
    <w:rsid w:val="00F9646E"/>
    <w:rsid w:val="00F9706E"/>
    <w:rsid w:val="00F97F34"/>
    <w:rsid w:val="00FA1F87"/>
    <w:rsid w:val="00FA310D"/>
    <w:rsid w:val="00FA46AF"/>
    <w:rsid w:val="00FA5BED"/>
    <w:rsid w:val="00FA72E3"/>
    <w:rsid w:val="00FB18E7"/>
    <w:rsid w:val="00FB3E8B"/>
    <w:rsid w:val="00FB5F36"/>
    <w:rsid w:val="00FC01EC"/>
    <w:rsid w:val="00FC34F0"/>
    <w:rsid w:val="00FC3754"/>
    <w:rsid w:val="00FC3DC8"/>
    <w:rsid w:val="00FC537F"/>
    <w:rsid w:val="00FC5E1F"/>
    <w:rsid w:val="00FC7843"/>
    <w:rsid w:val="00FD1618"/>
    <w:rsid w:val="00FD1A0E"/>
    <w:rsid w:val="00FD3170"/>
    <w:rsid w:val="00FD3493"/>
    <w:rsid w:val="00FD50E7"/>
    <w:rsid w:val="00FD511A"/>
    <w:rsid w:val="00FD52E0"/>
    <w:rsid w:val="00FD5396"/>
    <w:rsid w:val="00FD5E33"/>
    <w:rsid w:val="00FD6EE4"/>
    <w:rsid w:val="00FD7C7E"/>
    <w:rsid w:val="00FE1652"/>
    <w:rsid w:val="00FE46AE"/>
    <w:rsid w:val="00FE5109"/>
    <w:rsid w:val="00FE6259"/>
    <w:rsid w:val="00FE7663"/>
    <w:rsid w:val="00FE79C0"/>
    <w:rsid w:val="00FE7B7E"/>
    <w:rsid w:val="00FE7C8D"/>
    <w:rsid w:val="00FF05BA"/>
    <w:rsid w:val="00FF0D8A"/>
    <w:rsid w:val="00FF0E4D"/>
    <w:rsid w:val="00FF244F"/>
    <w:rsid w:val="00FF2BEF"/>
    <w:rsid w:val="00FF34E4"/>
    <w:rsid w:val="00FF428F"/>
    <w:rsid w:val="00FF4F1B"/>
    <w:rsid w:val="00FF5C66"/>
  </w:rsids>
  <m:mathPr>
    <m:mathFont m:val="Cambria Math"/>
    <m:brkBin m:val="before"/>
    <m:brkBinSub m:val="--"/>
    <m:smallFrac m:val="0"/>
    <m:dispDef/>
    <m:lMargin m:val="0"/>
    <m:rMargin m:val="0"/>
    <m:defJc m:val="centerGroup"/>
    <m:wrapIndent m:val="1440"/>
    <m:intLim m:val="subSup"/>
    <m:naryLim m:val="undOvr"/>
  </m:mathPr>
  <w:themeFontLang w:val="en-IN"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5AB78FD"/>
  <w15:docId w15:val="{1649D274-3DAA-384D-BEFC-6F4915E215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IN" w:eastAsia="en-IN" w:bidi="ar-SA"/>
      </w:rPr>
    </w:rPrDefault>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lsdException w:name="annotation reference" w:semiHidden="1"/>
    <w:lsdException w:name="line number" w:semiHidden="1" w:unhideWhenUsed="1"/>
    <w:lsdException w:name="page number" w:semiHidden="1" w:unhideWhenUsed="1"/>
    <w:lsdException w:name="endnote reference" w:semiHidden="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lsdException w:name="Date" w:semiHidden="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81568"/>
    <w:pPr>
      <w:snapToGrid w:val="0"/>
      <w:spacing w:before="120" w:after="120" w:line="360" w:lineRule="auto"/>
      <w:ind w:firstLine="360"/>
    </w:pPr>
    <w:rPr>
      <w:rFonts w:ascii="Times New Roman" w:hAnsi="Times New Roman"/>
      <w:sz w:val="24"/>
      <w:lang w:val="en-US" w:eastAsia="en-US"/>
    </w:rPr>
  </w:style>
  <w:style w:type="paragraph" w:styleId="Heading1">
    <w:name w:val="heading 1"/>
    <w:basedOn w:val="H1"/>
    <w:next w:val="Normal"/>
    <w:link w:val="Heading1Char"/>
    <w:uiPriority w:val="9"/>
    <w:rsid w:val="00397942"/>
    <w:pPr>
      <w:outlineLvl w:val="0"/>
    </w:pPr>
  </w:style>
  <w:style w:type="paragraph" w:styleId="Heading2">
    <w:name w:val="heading 2"/>
    <w:basedOn w:val="H2"/>
    <w:next w:val="Normal"/>
    <w:link w:val="Heading2Char"/>
    <w:uiPriority w:val="9"/>
    <w:unhideWhenUsed/>
    <w:rsid w:val="00397942"/>
    <w:pPr>
      <w:outlineLvl w:val="1"/>
    </w:pPr>
  </w:style>
  <w:style w:type="paragraph" w:styleId="Heading3">
    <w:name w:val="heading 3"/>
    <w:basedOn w:val="H3"/>
    <w:next w:val="Normal"/>
    <w:link w:val="Heading3Char"/>
    <w:uiPriority w:val="9"/>
    <w:unhideWhenUsed/>
    <w:rsid w:val="00397942"/>
    <w:pPr>
      <w:outlineLvl w:val="2"/>
    </w:pPr>
  </w:style>
  <w:style w:type="paragraph" w:styleId="Heading4">
    <w:name w:val="heading 4"/>
    <w:basedOn w:val="Normal"/>
    <w:next w:val="Normal"/>
    <w:link w:val="Heading4Char"/>
    <w:uiPriority w:val="9"/>
    <w:semiHidden/>
    <w:unhideWhenUsed/>
    <w:qFormat/>
    <w:rsid w:val="0083378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3378B"/>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3378B"/>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3378B"/>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3378B"/>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83378B"/>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1">
    <w:name w:val="Table Grid1"/>
    <w:basedOn w:val="TableNormal"/>
    <w:next w:val="TableGrid"/>
    <w:uiPriority w:val="39"/>
    <w:rsid w:val="00563593"/>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1B5C9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LineNumber">
    <w:name w:val="line number"/>
    <w:basedOn w:val="DefaultParagraphFont"/>
    <w:uiPriority w:val="99"/>
    <w:semiHidden/>
    <w:unhideWhenUsed/>
    <w:rsid w:val="00563593"/>
  </w:style>
  <w:style w:type="character" w:customStyle="1" w:styleId="FooterChar">
    <w:name w:val="Footer Char"/>
    <w:link w:val="Footer"/>
    <w:uiPriority w:val="99"/>
    <w:rsid w:val="00563593"/>
    <w:rPr>
      <w:rFonts w:ascii="Times New Roman" w:hAnsi="Times New Roman"/>
      <w:lang w:val="en-US" w:eastAsia="en-US"/>
    </w:rPr>
  </w:style>
  <w:style w:type="paragraph" w:styleId="Footer">
    <w:name w:val="footer"/>
    <w:basedOn w:val="Normal"/>
    <w:link w:val="FooterChar"/>
    <w:uiPriority w:val="99"/>
    <w:rsid w:val="001B5C9A"/>
    <w:pPr>
      <w:tabs>
        <w:tab w:val="center" w:pos="4320"/>
        <w:tab w:val="right" w:pos="8640"/>
      </w:tabs>
      <w:spacing w:before="0" w:after="0" w:line="240" w:lineRule="auto"/>
      <w:ind w:firstLine="0"/>
    </w:pPr>
  </w:style>
  <w:style w:type="paragraph" w:styleId="BalloonText">
    <w:name w:val="Balloon Text"/>
    <w:basedOn w:val="Normal"/>
    <w:link w:val="BalloonTextChar"/>
    <w:uiPriority w:val="99"/>
    <w:semiHidden/>
    <w:rsid w:val="00F40BAD"/>
    <w:pPr>
      <w:spacing w:before="0" w:after="0" w:line="240" w:lineRule="auto"/>
      <w:ind w:firstLine="0"/>
    </w:pPr>
    <w:rPr>
      <w:rFonts w:ascii="Segoe UI" w:hAnsi="Segoe UI" w:cs="Segoe UI"/>
      <w:sz w:val="18"/>
      <w:szCs w:val="18"/>
    </w:rPr>
  </w:style>
  <w:style w:type="paragraph" w:styleId="Revision">
    <w:name w:val="Revision"/>
    <w:hidden/>
    <w:uiPriority w:val="99"/>
    <w:semiHidden/>
    <w:rsid w:val="00563593"/>
    <w:rPr>
      <w:rFonts w:cs="Arial"/>
      <w:color w:val="000000"/>
      <w:sz w:val="22"/>
      <w:szCs w:val="22"/>
      <w:lang w:val="en-GB" w:eastAsia="en-GB"/>
    </w:rPr>
  </w:style>
  <w:style w:type="character" w:styleId="PlaceholderText">
    <w:name w:val="Placeholder Text"/>
    <w:uiPriority w:val="99"/>
    <w:semiHidden/>
    <w:rsid w:val="00563593"/>
    <w:rPr>
      <w:color w:val="808080"/>
    </w:rPr>
  </w:style>
  <w:style w:type="character" w:customStyle="1" w:styleId="BalloonTextChar">
    <w:name w:val="Balloon Text Char"/>
    <w:basedOn w:val="DefaultParagraphFont"/>
    <w:link w:val="BalloonText"/>
    <w:uiPriority w:val="99"/>
    <w:semiHidden/>
    <w:rsid w:val="00F40BAD"/>
    <w:rPr>
      <w:rFonts w:ascii="Segoe UI" w:hAnsi="Segoe UI" w:cs="Segoe UI"/>
      <w:sz w:val="18"/>
      <w:szCs w:val="18"/>
      <w:lang w:val="en-US" w:eastAsia="en-US"/>
    </w:rPr>
  </w:style>
  <w:style w:type="character" w:customStyle="1" w:styleId="Heading3Char">
    <w:name w:val="Heading 3 Char"/>
    <w:link w:val="Heading3"/>
    <w:uiPriority w:val="9"/>
    <w:rsid w:val="00397942"/>
    <w:rPr>
      <w:rFonts w:ascii="Times New Roman" w:hAnsi="Times New Roman"/>
      <w:smallCaps/>
      <w:kern w:val="28"/>
      <w:sz w:val="24"/>
      <w:lang w:val="en-US" w:eastAsia="en-US"/>
    </w:rPr>
  </w:style>
  <w:style w:type="character" w:customStyle="1" w:styleId="Heading2Char">
    <w:name w:val="Heading 2 Char"/>
    <w:link w:val="Heading2"/>
    <w:uiPriority w:val="9"/>
    <w:rsid w:val="00397942"/>
    <w:rPr>
      <w:rFonts w:ascii="Times New Roman" w:hAnsi="Times New Roman"/>
      <w:i/>
      <w:kern w:val="28"/>
      <w:sz w:val="24"/>
      <w:lang w:val="en-US" w:eastAsia="en-US"/>
    </w:rPr>
  </w:style>
  <w:style w:type="character" w:customStyle="1" w:styleId="Heading1Char">
    <w:name w:val="Heading 1 Char"/>
    <w:link w:val="Heading1"/>
    <w:uiPriority w:val="9"/>
    <w:rsid w:val="00397942"/>
    <w:rPr>
      <w:rFonts w:ascii="Times New Roman" w:hAnsi="Times New Roman"/>
      <w:b/>
      <w:kern w:val="28"/>
      <w:sz w:val="28"/>
      <w:lang w:val="en-US" w:eastAsia="en-US"/>
    </w:rPr>
  </w:style>
  <w:style w:type="character" w:styleId="PageNumber">
    <w:name w:val="page number"/>
    <w:basedOn w:val="DefaultParagraphFont"/>
    <w:uiPriority w:val="99"/>
    <w:semiHidden/>
    <w:unhideWhenUsed/>
    <w:rsid w:val="006D7457"/>
  </w:style>
  <w:style w:type="paragraph" w:styleId="FootnoteText">
    <w:name w:val="footnote text"/>
    <w:basedOn w:val="Normal"/>
    <w:link w:val="FootnoteTextChar"/>
    <w:uiPriority w:val="99"/>
    <w:semiHidden/>
    <w:unhideWhenUsed/>
    <w:rsid w:val="001B5C9A"/>
  </w:style>
  <w:style w:type="character" w:customStyle="1" w:styleId="FootnoteTextChar">
    <w:name w:val="Footnote Text Char"/>
    <w:link w:val="FootnoteText"/>
    <w:uiPriority w:val="99"/>
    <w:semiHidden/>
    <w:rsid w:val="001B5C9A"/>
    <w:rPr>
      <w:rFonts w:ascii="Times New Roman" w:hAnsi="Times New Roman"/>
      <w:lang w:val="en-US" w:eastAsia="en-US"/>
    </w:rPr>
  </w:style>
  <w:style w:type="paragraph" w:customStyle="1" w:styleId="ParagraphText">
    <w:name w:val="Paragraph Text"/>
    <w:link w:val="ParagraphTextChar"/>
    <w:qFormat/>
    <w:rsid w:val="00981568"/>
    <w:pPr>
      <w:snapToGrid w:val="0"/>
      <w:spacing w:before="120" w:line="360" w:lineRule="auto"/>
      <w:ind w:firstLine="360"/>
    </w:pPr>
    <w:rPr>
      <w:rFonts w:ascii="Times New Roman" w:hAnsi="Times New Roman"/>
      <w:sz w:val="24"/>
      <w:lang w:val="en-US" w:eastAsia="en-US"/>
    </w:rPr>
  </w:style>
  <w:style w:type="paragraph" w:customStyle="1" w:styleId="BibReference">
    <w:name w:val="Bib_Reference"/>
    <w:qFormat/>
    <w:rsid w:val="00981568"/>
    <w:pPr>
      <w:snapToGrid w:val="0"/>
      <w:spacing w:before="120" w:line="360" w:lineRule="auto"/>
      <w:ind w:left="360" w:hanging="360"/>
    </w:pPr>
    <w:rPr>
      <w:rFonts w:ascii="Times New Roman" w:hAnsi="Times New Roman"/>
      <w:sz w:val="24"/>
      <w:lang w:val="en-US" w:eastAsia="en-US"/>
    </w:rPr>
  </w:style>
  <w:style w:type="paragraph" w:customStyle="1" w:styleId="ComponentName">
    <w:name w:val="Component Name"/>
    <w:next w:val="ParagraphText"/>
    <w:rsid w:val="00981568"/>
    <w:pPr>
      <w:snapToGrid w:val="0"/>
      <w:spacing w:before="120" w:after="120" w:line="360" w:lineRule="auto"/>
      <w:jc w:val="center"/>
      <w:outlineLvl w:val="0"/>
    </w:pPr>
    <w:rPr>
      <w:rFonts w:ascii="Times New Roman" w:hAnsi="Times New Roman"/>
      <w:caps/>
      <w:kern w:val="28"/>
      <w:sz w:val="24"/>
      <w:szCs w:val="24"/>
      <w:lang w:val="en-US" w:eastAsia="en-US"/>
    </w:rPr>
  </w:style>
  <w:style w:type="paragraph" w:customStyle="1" w:styleId="Affiliations">
    <w:name w:val="Affiliations"/>
    <w:qFormat/>
    <w:rsid w:val="00981568"/>
    <w:pPr>
      <w:snapToGrid w:val="0"/>
      <w:spacing w:before="120" w:line="360" w:lineRule="auto"/>
      <w:jc w:val="center"/>
    </w:pPr>
    <w:rPr>
      <w:rFonts w:ascii="Times New Roman" w:hAnsi="Times New Roman"/>
      <w:i/>
      <w:lang w:val="en-US" w:eastAsia="en-US"/>
    </w:rPr>
  </w:style>
  <w:style w:type="paragraph" w:customStyle="1" w:styleId="H1">
    <w:name w:val="H1"/>
    <w:qFormat/>
    <w:rsid w:val="00981568"/>
    <w:pPr>
      <w:snapToGrid w:val="0"/>
      <w:spacing w:before="240" w:line="360" w:lineRule="auto"/>
    </w:pPr>
    <w:rPr>
      <w:rFonts w:ascii="Times New Roman" w:hAnsi="Times New Roman"/>
      <w:b/>
      <w:kern w:val="28"/>
      <w:sz w:val="28"/>
      <w:lang w:val="en-US" w:eastAsia="en-US"/>
    </w:rPr>
  </w:style>
  <w:style w:type="paragraph" w:customStyle="1" w:styleId="H2">
    <w:name w:val="H2"/>
    <w:qFormat/>
    <w:rsid w:val="00981568"/>
    <w:pPr>
      <w:snapToGrid w:val="0"/>
      <w:spacing w:before="240" w:line="360" w:lineRule="auto"/>
    </w:pPr>
    <w:rPr>
      <w:rFonts w:ascii="Times New Roman" w:hAnsi="Times New Roman"/>
      <w:i/>
      <w:kern w:val="28"/>
      <w:sz w:val="24"/>
      <w:lang w:val="en-US" w:eastAsia="en-US"/>
    </w:rPr>
  </w:style>
  <w:style w:type="paragraph" w:customStyle="1" w:styleId="H3">
    <w:name w:val="H3"/>
    <w:qFormat/>
    <w:rsid w:val="00981568"/>
    <w:pPr>
      <w:snapToGrid w:val="0"/>
      <w:spacing w:before="240" w:line="360" w:lineRule="auto"/>
    </w:pPr>
    <w:rPr>
      <w:rFonts w:ascii="Times New Roman" w:hAnsi="Times New Roman"/>
      <w:smallCaps/>
      <w:kern w:val="28"/>
      <w:sz w:val="24"/>
      <w:lang w:val="en-US" w:eastAsia="en-US"/>
    </w:rPr>
  </w:style>
  <w:style w:type="paragraph" w:customStyle="1" w:styleId="ArticleTitle">
    <w:name w:val="Article_Title"/>
    <w:qFormat/>
    <w:rsid w:val="00981568"/>
    <w:pPr>
      <w:snapToGrid w:val="0"/>
      <w:spacing w:before="120" w:after="120" w:line="360" w:lineRule="auto"/>
      <w:jc w:val="center"/>
    </w:pPr>
    <w:rPr>
      <w:rFonts w:ascii="Times New Roman" w:hAnsi="Times New Roman"/>
      <w:b/>
      <w:kern w:val="28"/>
      <w:sz w:val="28"/>
      <w:lang w:val="en-US" w:eastAsia="en-US"/>
    </w:rPr>
  </w:style>
  <w:style w:type="paragraph" w:customStyle="1" w:styleId="Authors">
    <w:name w:val="Authors"/>
    <w:qFormat/>
    <w:rsid w:val="00981568"/>
    <w:pPr>
      <w:snapToGrid w:val="0"/>
      <w:spacing w:before="240" w:line="360" w:lineRule="auto"/>
      <w:jc w:val="center"/>
    </w:pPr>
    <w:rPr>
      <w:rFonts w:ascii="Times New Roman" w:hAnsi="Times New Roman"/>
      <w:sz w:val="24"/>
      <w:lang w:val="en-US" w:eastAsia="en-US"/>
    </w:rPr>
  </w:style>
  <w:style w:type="character" w:customStyle="1" w:styleId="FooterChar1">
    <w:name w:val="Footer Char1"/>
    <w:basedOn w:val="DefaultParagraphFont"/>
    <w:uiPriority w:val="99"/>
    <w:semiHidden/>
    <w:rsid w:val="00396359"/>
    <w:rPr>
      <w:rFonts w:ascii="Times New Roman" w:hAnsi="Times New Roman" w:cs="Times New Roman"/>
      <w:lang w:val="en-US" w:eastAsia="en-US"/>
    </w:rPr>
  </w:style>
  <w:style w:type="character" w:customStyle="1" w:styleId="HeaderChar1">
    <w:name w:val="Header Char1"/>
    <w:basedOn w:val="DefaultParagraphFont"/>
    <w:uiPriority w:val="99"/>
    <w:semiHidden/>
    <w:rsid w:val="00396359"/>
    <w:rPr>
      <w:rFonts w:ascii="Times New Roman" w:hAnsi="Times New Roman" w:cs="Times New Roman"/>
      <w:lang w:val="en-US" w:eastAsia="en-US"/>
    </w:rPr>
  </w:style>
  <w:style w:type="character" w:customStyle="1" w:styleId="BalloonTextChar1">
    <w:name w:val="Balloon Text Char1"/>
    <w:basedOn w:val="DefaultParagraphFont"/>
    <w:uiPriority w:val="99"/>
    <w:semiHidden/>
    <w:rsid w:val="00396359"/>
    <w:rPr>
      <w:rFonts w:ascii="Tahoma" w:hAnsi="Tahoma" w:cs="Tahoma"/>
      <w:sz w:val="16"/>
      <w:szCs w:val="16"/>
      <w:lang w:val="en-US" w:eastAsia="en-US"/>
    </w:rPr>
  </w:style>
  <w:style w:type="character" w:customStyle="1" w:styleId="CommentSubjectChar1">
    <w:name w:val="Comment Subject Char1"/>
    <w:basedOn w:val="DefaultParagraphFont"/>
    <w:uiPriority w:val="99"/>
    <w:semiHidden/>
    <w:rsid w:val="00F40BAD"/>
    <w:rPr>
      <w:rFonts w:ascii="Times New Roman" w:hAnsi="Times New Roman" w:cs="Times New Roman"/>
      <w:b/>
      <w:bCs/>
      <w:lang w:val="en-US" w:eastAsia="en-US"/>
    </w:rPr>
  </w:style>
  <w:style w:type="paragraph" w:customStyle="1" w:styleId="AppendixTitle">
    <w:name w:val="Appendix Title"/>
    <w:rsid w:val="00981568"/>
    <w:pPr>
      <w:snapToGrid w:val="0"/>
      <w:spacing w:before="240" w:line="360" w:lineRule="auto"/>
      <w:jc w:val="center"/>
    </w:pPr>
    <w:rPr>
      <w:rFonts w:ascii="Times New Roman" w:hAnsi="Times New Roman"/>
      <w:b/>
      <w:kern w:val="28"/>
      <w:sz w:val="24"/>
      <w:szCs w:val="24"/>
      <w:lang w:val="en-US" w:eastAsia="en-US"/>
    </w:rPr>
  </w:style>
  <w:style w:type="paragraph" w:customStyle="1" w:styleId="H4">
    <w:name w:val="H4"/>
    <w:qFormat/>
    <w:rsid w:val="00981568"/>
    <w:pPr>
      <w:snapToGrid w:val="0"/>
      <w:spacing w:before="240" w:line="360" w:lineRule="auto"/>
    </w:pPr>
    <w:rPr>
      <w:rFonts w:ascii="Times New Roman" w:hAnsi="Times New Roman"/>
      <w:i/>
      <w:kern w:val="28"/>
      <w:lang w:val="en-US" w:eastAsia="en-US"/>
    </w:rPr>
  </w:style>
  <w:style w:type="paragraph" w:customStyle="1" w:styleId="ComponentName2">
    <w:name w:val="Component Name 2"/>
    <w:next w:val="ParagraphText"/>
    <w:qFormat/>
    <w:rsid w:val="00981568"/>
    <w:pPr>
      <w:snapToGrid w:val="0"/>
      <w:spacing w:before="120" w:line="360" w:lineRule="auto"/>
      <w:outlineLvl w:val="0"/>
    </w:pPr>
    <w:rPr>
      <w:rFonts w:ascii="Times New Roman" w:hAnsi="Times New Roman"/>
      <w:i/>
      <w:kern w:val="28"/>
      <w:sz w:val="24"/>
      <w:lang w:val="en-US" w:eastAsia="en-US"/>
    </w:rPr>
  </w:style>
  <w:style w:type="character" w:customStyle="1" w:styleId="FooterChar11">
    <w:name w:val="Footer Char11"/>
    <w:basedOn w:val="DefaultParagraphFont"/>
    <w:uiPriority w:val="99"/>
    <w:semiHidden/>
    <w:rsid w:val="00396359"/>
    <w:rPr>
      <w:rFonts w:ascii="Times New Roman" w:hAnsi="Times New Roman" w:cs="Times New Roman"/>
      <w:lang w:val="en-US" w:eastAsia="en-US"/>
    </w:rPr>
  </w:style>
  <w:style w:type="character" w:customStyle="1" w:styleId="HeaderChar11">
    <w:name w:val="Header Char11"/>
    <w:basedOn w:val="DefaultParagraphFont"/>
    <w:uiPriority w:val="99"/>
    <w:semiHidden/>
    <w:rsid w:val="00396359"/>
    <w:rPr>
      <w:rFonts w:ascii="Times New Roman" w:hAnsi="Times New Roman" w:cs="Times New Roman"/>
      <w:lang w:val="en-US" w:eastAsia="en-US"/>
    </w:rPr>
  </w:style>
  <w:style w:type="character" w:customStyle="1" w:styleId="BalloonTextChar11">
    <w:name w:val="Balloon Text Char11"/>
    <w:basedOn w:val="DefaultParagraphFont"/>
    <w:uiPriority w:val="99"/>
    <w:semiHidden/>
    <w:rsid w:val="00396359"/>
    <w:rPr>
      <w:rFonts w:ascii="Tahoma" w:hAnsi="Tahoma" w:cs="Tahoma"/>
      <w:sz w:val="16"/>
      <w:szCs w:val="16"/>
      <w:lang w:val="en-US" w:eastAsia="en-US"/>
    </w:rPr>
  </w:style>
  <w:style w:type="character" w:customStyle="1" w:styleId="FooterChar14">
    <w:name w:val="Footer Char14"/>
    <w:basedOn w:val="DefaultParagraphFont"/>
    <w:uiPriority w:val="99"/>
    <w:semiHidden/>
    <w:rsid w:val="00A00069"/>
    <w:rPr>
      <w:rFonts w:ascii="Times New Roman" w:hAnsi="Times New Roman" w:cs="Times New Roman"/>
      <w:lang w:val="en-US" w:eastAsia="en-US"/>
    </w:rPr>
  </w:style>
  <w:style w:type="character" w:customStyle="1" w:styleId="HeaderChar14">
    <w:name w:val="Header Char14"/>
    <w:basedOn w:val="DefaultParagraphFont"/>
    <w:uiPriority w:val="99"/>
    <w:semiHidden/>
    <w:rsid w:val="00A00069"/>
    <w:rPr>
      <w:rFonts w:ascii="Times New Roman" w:hAnsi="Times New Roman" w:cs="Times New Roman"/>
      <w:lang w:val="en-US" w:eastAsia="en-US"/>
    </w:rPr>
  </w:style>
  <w:style w:type="character" w:customStyle="1" w:styleId="FooterChar12">
    <w:name w:val="Footer Char12"/>
    <w:basedOn w:val="DefaultParagraphFont"/>
    <w:uiPriority w:val="99"/>
    <w:semiHidden/>
    <w:rsid w:val="00B0142D"/>
    <w:rPr>
      <w:rFonts w:ascii="Times New Roman" w:hAnsi="Times New Roman" w:cs="Times New Roman"/>
      <w:lang w:val="en-US" w:eastAsia="en-US"/>
    </w:rPr>
  </w:style>
  <w:style w:type="character" w:customStyle="1" w:styleId="HeaderChar12">
    <w:name w:val="Header Char12"/>
    <w:basedOn w:val="DefaultParagraphFont"/>
    <w:uiPriority w:val="99"/>
    <w:semiHidden/>
    <w:rsid w:val="00B0142D"/>
    <w:rPr>
      <w:rFonts w:ascii="Times New Roman" w:hAnsi="Times New Roman" w:cs="Times New Roman"/>
      <w:lang w:val="en-US" w:eastAsia="en-US"/>
    </w:rPr>
  </w:style>
  <w:style w:type="character" w:customStyle="1" w:styleId="BalloonTextChar12">
    <w:name w:val="Balloon Text Char12"/>
    <w:basedOn w:val="DefaultParagraphFont"/>
    <w:uiPriority w:val="99"/>
    <w:semiHidden/>
    <w:rsid w:val="00B0142D"/>
    <w:rPr>
      <w:rFonts w:ascii="Tahoma" w:hAnsi="Tahoma" w:cs="Tahoma"/>
      <w:sz w:val="16"/>
      <w:szCs w:val="16"/>
      <w:lang w:val="en-US" w:eastAsia="en-US"/>
    </w:rPr>
  </w:style>
  <w:style w:type="character" w:customStyle="1" w:styleId="FooterChar13">
    <w:name w:val="Footer Char13"/>
    <w:basedOn w:val="DefaultParagraphFont"/>
    <w:uiPriority w:val="99"/>
    <w:semiHidden/>
    <w:rsid w:val="00BD2DDE"/>
    <w:rPr>
      <w:rFonts w:ascii="Times New Roman" w:hAnsi="Times New Roman" w:cs="Times New Roman"/>
      <w:lang w:val="en-US" w:eastAsia="en-US"/>
    </w:rPr>
  </w:style>
  <w:style w:type="character" w:customStyle="1" w:styleId="HeaderChar13">
    <w:name w:val="Header Char13"/>
    <w:basedOn w:val="DefaultParagraphFont"/>
    <w:uiPriority w:val="99"/>
    <w:semiHidden/>
    <w:rsid w:val="00BD2DDE"/>
    <w:rPr>
      <w:rFonts w:ascii="Times New Roman" w:hAnsi="Times New Roman" w:cs="Times New Roman"/>
      <w:lang w:val="en-US" w:eastAsia="en-US"/>
    </w:rPr>
  </w:style>
  <w:style w:type="character" w:customStyle="1" w:styleId="BalloonTextChar13">
    <w:name w:val="Balloon Text Char13"/>
    <w:basedOn w:val="DefaultParagraphFont"/>
    <w:uiPriority w:val="99"/>
    <w:semiHidden/>
    <w:rsid w:val="00BD2DDE"/>
    <w:rPr>
      <w:rFonts w:ascii="Tahoma" w:hAnsi="Tahoma" w:cs="Tahoma"/>
      <w:sz w:val="16"/>
      <w:szCs w:val="16"/>
      <w:lang w:val="en-US" w:eastAsia="en-US"/>
    </w:rPr>
  </w:style>
  <w:style w:type="character" w:customStyle="1" w:styleId="BalloonTextChar14">
    <w:name w:val="Balloon Text Char14"/>
    <w:basedOn w:val="DefaultParagraphFont"/>
    <w:uiPriority w:val="99"/>
    <w:semiHidden/>
    <w:rsid w:val="00A00069"/>
    <w:rPr>
      <w:rFonts w:ascii="Tahoma" w:hAnsi="Tahoma" w:cs="Tahoma"/>
      <w:sz w:val="16"/>
      <w:szCs w:val="16"/>
      <w:lang w:val="en-US" w:eastAsia="en-US"/>
    </w:rPr>
  </w:style>
  <w:style w:type="character" w:customStyle="1" w:styleId="FooterChar17">
    <w:name w:val="Footer Char17"/>
    <w:basedOn w:val="DefaultParagraphFont"/>
    <w:uiPriority w:val="99"/>
    <w:semiHidden/>
    <w:rsid w:val="00BB37D3"/>
    <w:rPr>
      <w:rFonts w:ascii="Times New Roman" w:hAnsi="Times New Roman" w:cs="Times New Roman"/>
      <w:lang w:val="en-US" w:eastAsia="en-US"/>
    </w:rPr>
  </w:style>
  <w:style w:type="character" w:customStyle="1" w:styleId="HeaderChar17">
    <w:name w:val="Header Char17"/>
    <w:basedOn w:val="DefaultParagraphFont"/>
    <w:uiPriority w:val="99"/>
    <w:semiHidden/>
    <w:rsid w:val="00BB37D3"/>
    <w:rPr>
      <w:rFonts w:ascii="Times New Roman" w:hAnsi="Times New Roman" w:cs="Times New Roman"/>
      <w:lang w:val="en-US" w:eastAsia="en-US"/>
    </w:rPr>
  </w:style>
  <w:style w:type="character" w:customStyle="1" w:styleId="FooterChar15">
    <w:name w:val="Footer Char15"/>
    <w:basedOn w:val="DefaultParagraphFont"/>
    <w:uiPriority w:val="99"/>
    <w:semiHidden/>
    <w:rsid w:val="005F1D1E"/>
    <w:rPr>
      <w:rFonts w:ascii="Times New Roman" w:hAnsi="Times New Roman" w:cs="Times New Roman"/>
      <w:lang w:val="en-US" w:eastAsia="en-US"/>
    </w:rPr>
  </w:style>
  <w:style w:type="character" w:customStyle="1" w:styleId="HeaderChar15">
    <w:name w:val="Header Char15"/>
    <w:basedOn w:val="DefaultParagraphFont"/>
    <w:uiPriority w:val="99"/>
    <w:semiHidden/>
    <w:rsid w:val="005F1D1E"/>
    <w:rPr>
      <w:rFonts w:ascii="Times New Roman" w:hAnsi="Times New Roman" w:cs="Times New Roman"/>
      <w:lang w:val="en-US" w:eastAsia="en-US"/>
    </w:rPr>
  </w:style>
  <w:style w:type="character" w:customStyle="1" w:styleId="BalloonTextChar15">
    <w:name w:val="Balloon Text Char15"/>
    <w:basedOn w:val="DefaultParagraphFont"/>
    <w:uiPriority w:val="99"/>
    <w:semiHidden/>
    <w:rsid w:val="005F1D1E"/>
    <w:rPr>
      <w:rFonts w:ascii="Tahoma" w:hAnsi="Tahoma" w:cs="Tahoma"/>
      <w:sz w:val="16"/>
      <w:szCs w:val="16"/>
      <w:lang w:val="en-US" w:eastAsia="en-US"/>
    </w:rPr>
  </w:style>
  <w:style w:type="character" w:customStyle="1" w:styleId="FooterChar16">
    <w:name w:val="Footer Char16"/>
    <w:basedOn w:val="DefaultParagraphFont"/>
    <w:uiPriority w:val="99"/>
    <w:semiHidden/>
    <w:rsid w:val="000C1FF8"/>
    <w:rPr>
      <w:rFonts w:ascii="Times New Roman" w:hAnsi="Times New Roman" w:cs="Times New Roman"/>
      <w:lang w:val="en-US" w:eastAsia="en-US"/>
    </w:rPr>
  </w:style>
  <w:style w:type="character" w:customStyle="1" w:styleId="HeaderChar16">
    <w:name w:val="Header Char16"/>
    <w:basedOn w:val="DefaultParagraphFont"/>
    <w:uiPriority w:val="99"/>
    <w:semiHidden/>
    <w:rsid w:val="000C1FF8"/>
    <w:rPr>
      <w:rFonts w:ascii="Times New Roman" w:hAnsi="Times New Roman" w:cs="Times New Roman"/>
      <w:lang w:val="en-US" w:eastAsia="en-US"/>
    </w:rPr>
  </w:style>
  <w:style w:type="character" w:customStyle="1" w:styleId="BalloonTextChar16">
    <w:name w:val="Balloon Text Char16"/>
    <w:basedOn w:val="DefaultParagraphFont"/>
    <w:uiPriority w:val="99"/>
    <w:semiHidden/>
    <w:rsid w:val="000C1FF8"/>
    <w:rPr>
      <w:rFonts w:ascii="Tahoma" w:hAnsi="Tahoma" w:cs="Tahoma"/>
      <w:sz w:val="16"/>
      <w:szCs w:val="16"/>
      <w:lang w:val="en-US" w:eastAsia="en-US"/>
    </w:rPr>
  </w:style>
  <w:style w:type="character" w:customStyle="1" w:styleId="BalloonTextChar17">
    <w:name w:val="Balloon Text Char17"/>
    <w:basedOn w:val="DefaultParagraphFont"/>
    <w:uiPriority w:val="99"/>
    <w:semiHidden/>
    <w:rsid w:val="00BB37D3"/>
    <w:rPr>
      <w:rFonts w:ascii="Tahoma" w:hAnsi="Tahoma" w:cs="Tahoma"/>
      <w:sz w:val="16"/>
      <w:szCs w:val="16"/>
      <w:lang w:val="en-US" w:eastAsia="en-US"/>
    </w:rPr>
  </w:style>
  <w:style w:type="paragraph" w:styleId="Bibliography">
    <w:name w:val="Bibliography"/>
    <w:basedOn w:val="Normal"/>
    <w:next w:val="Normal"/>
    <w:uiPriority w:val="37"/>
    <w:semiHidden/>
    <w:unhideWhenUsed/>
    <w:rsid w:val="0083378B"/>
  </w:style>
  <w:style w:type="paragraph" w:styleId="BlockText">
    <w:name w:val="Block Text"/>
    <w:basedOn w:val="Normal"/>
    <w:uiPriority w:val="99"/>
    <w:semiHidden/>
    <w:unhideWhenUsed/>
    <w:rsid w:val="0083378B"/>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83378B"/>
  </w:style>
  <w:style w:type="character" w:customStyle="1" w:styleId="BodyTextChar">
    <w:name w:val="Body Text Char"/>
    <w:basedOn w:val="DefaultParagraphFont"/>
    <w:link w:val="BodyText"/>
    <w:uiPriority w:val="99"/>
    <w:semiHidden/>
    <w:rsid w:val="0083378B"/>
    <w:rPr>
      <w:rFonts w:ascii="Times New Roman" w:hAnsi="Times New Roman"/>
      <w:lang w:val="en-US" w:eastAsia="en-US"/>
    </w:rPr>
  </w:style>
  <w:style w:type="paragraph" w:styleId="BodyText2">
    <w:name w:val="Body Text 2"/>
    <w:basedOn w:val="Normal"/>
    <w:link w:val="BodyText2Char"/>
    <w:uiPriority w:val="99"/>
    <w:semiHidden/>
    <w:unhideWhenUsed/>
    <w:rsid w:val="0083378B"/>
  </w:style>
  <w:style w:type="character" w:customStyle="1" w:styleId="BodyText2Char">
    <w:name w:val="Body Text 2 Char"/>
    <w:basedOn w:val="DefaultParagraphFont"/>
    <w:link w:val="BodyText2"/>
    <w:uiPriority w:val="99"/>
    <w:semiHidden/>
    <w:rsid w:val="0083378B"/>
    <w:rPr>
      <w:rFonts w:ascii="Times New Roman" w:hAnsi="Times New Roman"/>
      <w:lang w:val="en-US" w:eastAsia="en-US"/>
    </w:rPr>
  </w:style>
  <w:style w:type="paragraph" w:styleId="BodyText3">
    <w:name w:val="Body Text 3"/>
    <w:basedOn w:val="Normal"/>
    <w:link w:val="BodyText3Char"/>
    <w:uiPriority w:val="99"/>
    <w:semiHidden/>
    <w:unhideWhenUsed/>
    <w:rsid w:val="0083378B"/>
    <w:rPr>
      <w:sz w:val="16"/>
      <w:szCs w:val="16"/>
    </w:rPr>
  </w:style>
  <w:style w:type="character" w:customStyle="1" w:styleId="BodyText3Char">
    <w:name w:val="Body Text 3 Char"/>
    <w:basedOn w:val="DefaultParagraphFont"/>
    <w:link w:val="BodyText3"/>
    <w:uiPriority w:val="99"/>
    <w:semiHidden/>
    <w:rsid w:val="0083378B"/>
    <w:rPr>
      <w:rFonts w:ascii="Times New Roman" w:hAnsi="Times New Roman"/>
      <w:sz w:val="16"/>
      <w:szCs w:val="16"/>
      <w:lang w:val="en-US" w:eastAsia="en-US"/>
    </w:rPr>
  </w:style>
  <w:style w:type="paragraph" w:styleId="BodyTextFirstIndent">
    <w:name w:val="Body Text First Indent"/>
    <w:basedOn w:val="BodyText"/>
    <w:link w:val="BodyTextFirstIndentChar"/>
    <w:uiPriority w:val="99"/>
    <w:semiHidden/>
    <w:unhideWhenUsed/>
    <w:rsid w:val="0083378B"/>
    <w:pPr>
      <w:spacing w:after="0"/>
    </w:pPr>
  </w:style>
  <w:style w:type="character" w:customStyle="1" w:styleId="BodyTextFirstIndentChar">
    <w:name w:val="Body Text First Indent Char"/>
    <w:basedOn w:val="BodyTextChar"/>
    <w:link w:val="BodyTextFirstIndent"/>
    <w:uiPriority w:val="99"/>
    <w:semiHidden/>
    <w:rsid w:val="0083378B"/>
    <w:rPr>
      <w:rFonts w:ascii="Times New Roman" w:hAnsi="Times New Roman"/>
      <w:lang w:val="en-US" w:eastAsia="en-US"/>
    </w:rPr>
  </w:style>
  <w:style w:type="paragraph" w:styleId="BodyTextIndent">
    <w:name w:val="Body Text Indent"/>
    <w:basedOn w:val="Normal"/>
    <w:link w:val="BodyTextIndentChar"/>
    <w:uiPriority w:val="99"/>
    <w:semiHidden/>
    <w:unhideWhenUsed/>
    <w:rsid w:val="0083378B"/>
    <w:pPr>
      <w:ind w:left="283"/>
    </w:pPr>
  </w:style>
  <w:style w:type="character" w:customStyle="1" w:styleId="BodyTextIndentChar">
    <w:name w:val="Body Text Indent Char"/>
    <w:basedOn w:val="DefaultParagraphFont"/>
    <w:link w:val="BodyTextIndent"/>
    <w:uiPriority w:val="99"/>
    <w:semiHidden/>
    <w:rsid w:val="0083378B"/>
    <w:rPr>
      <w:rFonts w:ascii="Times New Roman" w:hAnsi="Times New Roman"/>
      <w:lang w:val="en-US" w:eastAsia="en-US"/>
    </w:rPr>
  </w:style>
  <w:style w:type="paragraph" w:styleId="BodyTextFirstIndent2">
    <w:name w:val="Body Text First Indent 2"/>
    <w:basedOn w:val="BodyTextIndent"/>
    <w:link w:val="BodyTextFirstIndent2Char"/>
    <w:uiPriority w:val="99"/>
    <w:semiHidden/>
    <w:unhideWhenUsed/>
    <w:rsid w:val="0083378B"/>
    <w:pPr>
      <w:spacing w:after="0"/>
      <w:ind w:left="360"/>
    </w:pPr>
  </w:style>
  <w:style w:type="character" w:customStyle="1" w:styleId="BodyTextFirstIndent2Char">
    <w:name w:val="Body Text First Indent 2 Char"/>
    <w:basedOn w:val="BodyTextIndentChar"/>
    <w:link w:val="BodyTextFirstIndent2"/>
    <w:uiPriority w:val="99"/>
    <w:semiHidden/>
    <w:rsid w:val="0083378B"/>
    <w:rPr>
      <w:rFonts w:ascii="Times New Roman" w:hAnsi="Times New Roman"/>
      <w:lang w:val="en-US" w:eastAsia="en-US"/>
    </w:rPr>
  </w:style>
  <w:style w:type="paragraph" w:styleId="BodyTextIndent2">
    <w:name w:val="Body Text Indent 2"/>
    <w:basedOn w:val="Normal"/>
    <w:link w:val="BodyTextIndent2Char"/>
    <w:uiPriority w:val="99"/>
    <w:semiHidden/>
    <w:unhideWhenUsed/>
    <w:rsid w:val="0083378B"/>
    <w:pPr>
      <w:ind w:left="283"/>
    </w:pPr>
  </w:style>
  <w:style w:type="character" w:customStyle="1" w:styleId="BodyTextIndent2Char">
    <w:name w:val="Body Text Indent 2 Char"/>
    <w:basedOn w:val="DefaultParagraphFont"/>
    <w:link w:val="BodyTextIndent2"/>
    <w:uiPriority w:val="99"/>
    <w:semiHidden/>
    <w:rsid w:val="0083378B"/>
    <w:rPr>
      <w:rFonts w:ascii="Times New Roman" w:hAnsi="Times New Roman"/>
      <w:lang w:val="en-US" w:eastAsia="en-US"/>
    </w:rPr>
  </w:style>
  <w:style w:type="paragraph" w:styleId="BodyTextIndent3">
    <w:name w:val="Body Text Indent 3"/>
    <w:basedOn w:val="Normal"/>
    <w:link w:val="BodyTextIndent3Char"/>
    <w:uiPriority w:val="99"/>
    <w:semiHidden/>
    <w:unhideWhenUsed/>
    <w:rsid w:val="0083378B"/>
    <w:pPr>
      <w:ind w:left="283"/>
    </w:pPr>
    <w:rPr>
      <w:sz w:val="16"/>
      <w:szCs w:val="16"/>
    </w:rPr>
  </w:style>
  <w:style w:type="character" w:customStyle="1" w:styleId="BodyTextIndent3Char">
    <w:name w:val="Body Text Indent 3 Char"/>
    <w:basedOn w:val="DefaultParagraphFont"/>
    <w:link w:val="BodyTextIndent3"/>
    <w:uiPriority w:val="99"/>
    <w:semiHidden/>
    <w:rsid w:val="0083378B"/>
    <w:rPr>
      <w:rFonts w:ascii="Times New Roman" w:hAnsi="Times New Roman"/>
      <w:sz w:val="16"/>
      <w:szCs w:val="16"/>
      <w:lang w:val="en-US" w:eastAsia="en-US"/>
    </w:rPr>
  </w:style>
  <w:style w:type="paragraph" w:styleId="Caption">
    <w:name w:val="caption"/>
    <w:basedOn w:val="ParagraphText"/>
    <w:next w:val="Normal"/>
    <w:uiPriority w:val="35"/>
    <w:unhideWhenUsed/>
    <w:rsid w:val="00E37E39"/>
    <w:pPr>
      <w:spacing w:line="240" w:lineRule="auto"/>
    </w:pPr>
  </w:style>
  <w:style w:type="paragraph" w:styleId="Closing">
    <w:name w:val="Closing"/>
    <w:basedOn w:val="Normal"/>
    <w:link w:val="ClosingChar"/>
    <w:uiPriority w:val="99"/>
    <w:semiHidden/>
    <w:unhideWhenUsed/>
    <w:rsid w:val="0083378B"/>
    <w:pPr>
      <w:ind w:left="4252"/>
    </w:pPr>
  </w:style>
  <w:style w:type="character" w:customStyle="1" w:styleId="ClosingChar">
    <w:name w:val="Closing Char"/>
    <w:basedOn w:val="DefaultParagraphFont"/>
    <w:link w:val="Closing"/>
    <w:uiPriority w:val="99"/>
    <w:semiHidden/>
    <w:rsid w:val="0083378B"/>
    <w:rPr>
      <w:rFonts w:ascii="Times New Roman" w:hAnsi="Times New Roman"/>
      <w:lang w:val="en-US" w:eastAsia="en-US"/>
    </w:rPr>
  </w:style>
  <w:style w:type="paragraph" w:styleId="DocumentMap">
    <w:name w:val="Document Map"/>
    <w:basedOn w:val="Normal"/>
    <w:link w:val="DocumentMapChar"/>
    <w:uiPriority w:val="99"/>
    <w:semiHidden/>
    <w:unhideWhenUsed/>
    <w:rsid w:val="0083378B"/>
    <w:rPr>
      <w:rFonts w:ascii="Tahoma" w:hAnsi="Tahoma" w:cs="Tahoma"/>
      <w:sz w:val="16"/>
      <w:szCs w:val="16"/>
    </w:rPr>
  </w:style>
  <w:style w:type="character" w:customStyle="1" w:styleId="DocumentMapChar">
    <w:name w:val="Document Map Char"/>
    <w:basedOn w:val="DefaultParagraphFont"/>
    <w:link w:val="DocumentMap"/>
    <w:uiPriority w:val="99"/>
    <w:semiHidden/>
    <w:rsid w:val="0083378B"/>
    <w:rPr>
      <w:rFonts w:ascii="Tahoma" w:hAnsi="Tahoma" w:cs="Tahoma"/>
      <w:sz w:val="16"/>
      <w:szCs w:val="16"/>
      <w:lang w:val="en-US" w:eastAsia="en-US"/>
    </w:rPr>
  </w:style>
  <w:style w:type="paragraph" w:styleId="E-mailSignature">
    <w:name w:val="E-mail Signature"/>
    <w:basedOn w:val="Normal"/>
    <w:link w:val="E-mailSignatureChar"/>
    <w:uiPriority w:val="99"/>
    <w:semiHidden/>
    <w:unhideWhenUsed/>
    <w:rsid w:val="0083378B"/>
  </w:style>
  <w:style w:type="character" w:customStyle="1" w:styleId="E-mailSignatureChar">
    <w:name w:val="E-mail Signature Char"/>
    <w:basedOn w:val="DefaultParagraphFont"/>
    <w:link w:val="E-mailSignature"/>
    <w:uiPriority w:val="99"/>
    <w:semiHidden/>
    <w:rsid w:val="0083378B"/>
    <w:rPr>
      <w:rFonts w:ascii="Times New Roman" w:hAnsi="Times New Roman"/>
      <w:lang w:val="en-US" w:eastAsia="en-US"/>
    </w:rPr>
  </w:style>
  <w:style w:type="paragraph" w:styleId="EndnoteText">
    <w:name w:val="endnote text"/>
    <w:basedOn w:val="Normal"/>
    <w:link w:val="EndnoteTextChar"/>
    <w:uiPriority w:val="99"/>
    <w:semiHidden/>
    <w:unhideWhenUsed/>
    <w:rsid w:val="0083378B"/>
  </w:style>
  <w:style w:type="character" w:customStyle="1" w:styleId="EndnoteTextChar">
    <w:name w:val="Endnote Text Char"/>
    <w:basedOn w:val="DefaultParagraphFont"/>
    <w:link w:val="EndnoteText"/>
    <w:uiPriority w:val="99"/>
    <w:semiHidden/>
    <w:rsid w:val="0083378B"/>
    <w:rPr>
      <w:rFonts w:ascii="Times New Roman" w:hAnsi="Times New Roman"/>
      <w:lang w:val="en-US" w:eastAsia="en-US"/>
    </w:rPr>
  </w:style>
  <w:style w:type="paragraph" w:styleId="EnvelopeAddress">
    <w:name w:val="envelope address"/>
    <w:basedOn w:val="Normal"/>
    <w:uiPriority w:val="99"/>
    <w:semiHidden/>
    <w:unhideWhenUsed/>
    <w:rsid w:val="0083378B"/>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3378B"/>
    <w:rPr>
      <w:rFonts w:asciiTheme="majorHAnsi" w:eastAsiaTheme="majorEastAsia" w:hAnsiTheme="majorHAnsi" w:cstheme="majorBidi"/>
    </w:rPr>
  </w:style>
  <w:style w:type="character" w:customStyle="1" w:styleId="Heading4Char">
    <w:name w:val="Heading 4 Char"/>
    <w:basedOn w:val="DefaultParagraphFont"/>
    <w:link w:val="Heading4"/>
    <w:uiPriority w:val="9"/>
    <w:semiHidden/>
    <w:rsid w:val="0083378B"/>
    <w:rPr>
      <w:rFonts w:asciiTheme="majorHAnsi" w:eastAsiaTheme="majorEastAsia" w:hAnsiTheme="majorHAnsi" w:cstheme="majorBidi"/>
      <w:b/>
      <w:bCs/>
      <w:i/>
      <w:iCs/>
      <w:color w:val="4F81BD" w:themeColor="accent1"/>
      <w:lang w:val="en-US" w:eastAsia="en-US"/>
    </w:rPr>
  </w:style>
  <w:style w:type="character" w:customStyle="1" w:styleId="Heading5Char">
    <w:name w:val="Heading 5 Char"/>
    <w:basedOn w:val="DefaultParagraphFont"/>
    <w:link w:val="Heading5"/>
    <w:uiPriority w:val="9"/>
    <w:semiHidden/>
    <w:rsid w:val="0083378B"/>
    <w:rPr>
      <w:rFonts w:asciiTheme="majorHAnsi" w:eastAsiaTheme="majorEastAsia" w:hAnsiTheme="majorHAnsi" w:cstheme="majorBidi"/>
      <w:color w:val="243F60" w:themeColor="accent1" w:themeShade="7F"/>
      <w:lang w:val="en-US" w:eastAsia="en-US"/>
    </w:rPr>
  </w:style>
  <w:style w:type="character" w:customStyle="1" w:styleId="Heading6Char">
    <w:name w:val="Heading 6 Char"/>
    <w:basedOn w:val="DefaultParagraphFont"/>
    <w:link w:val="Heading6"/>
    <w:uiPriority w:val="9"/>
    <w:semiHidden/>
    <w:rsid w:val="0083378B"/>
    <w:rPr>
      <w:rFonts w:asciiTheme="majorHAnsi" w:eastAsiaTheme="majorEastAsia" w:hAnsiTheme="majorHAnsi" w:cstheme="majorBidi"/>
      <w:i/>
      <w:iCs/>
      <w:color w:val="243F60" w:themeColor="accent1" w:themeShade="7F"/>
      <w:lang w:val="en-US" w:eastAsia="en-US"/>
    </w:rPr>
  </w:style>
  <w:style w:type="character" w:customStyle="1" w:styleId="Heading7Char">
    <w:name w:val="Heading 7 Char"/>
    <w:basedOn w:val="DefaultParagraphFont"/>
    <w:link w:val="Heading7"/>
    <w:uiPriority w:val="9"/>
    <w:semiHidden/>
    <w:rsid w:val="0083378B"/>
    <w:rPr>
      <w:rFonts w:asciiTheme="majorHAnsi" w:eastAsiaTheme="majorEastAsia" w:hAnsiTheme="majorHAnsi" w:cstheme="majorBidi"/>
      <w:i/>
      <w:iCs/>
      <w:color w:val="404040" w:themeColor="text1" w:themeTint="BF"/>
      <w:lang w:val="en-US" w:eastAsia="en-US"/>
    </w:rPr>
  </w:style>
  <w:style w:type="character" w:customStyle="1" w:styleId="Heading8Char">
    <w:name w:val="Heading 8 Char"/>
    <w:basedOn w:val="DefaultParagraphFont"/>
    <w:link w:val="Heading8"/>
    <w:uiPriority w:val="9"/>
    <w:semiHidden/>
    <w:rsid w:val="0083378B"/>
    <w:rPr>
      <w:rFonts w:asciiTheme="majorHAnsi" w:eastAsiaTheme="majorEastAsia" w:hAnsiTheme="majorHAnsi" w:cstheme="majorBidi"/>
      <w:color w:val="404040" w:themeColor="text1" w:themeTint="BF"/>
      <w:lang w:val="en-US" w:eastAsia="en-US"/>
    </w:rPr>
  </w:style>
  <w:style w:type="character" w:customStyle="1" w:styleId="Heading9Char">
    <w:name w:val="Heading 9 Char"/>
    <w:basedOn w:val="DefaultParagraphFont"/>
    <w:link w:val="Heading9"/>
    <w:uiPriority w:val="9"/>
    <w:semiHidden/>
    <w:rsid w:val="0083378B"/>
    <w:rPr>
      <w:rFonts w:asciiTheme="majorHAnsi" w:eastAsiaTheme="majorEastAsia" w:hAnsiTheme="majorHAnsi" w:cstheme="majorBidi"/>
      <w:i/>
      <w:iCs/>
      <w:color w:val="404040" w:themeColor="text1" w:themeTint="BF"/>
      <w:lang w:val="en-US" w:eastAsia="en-US"/>
    </w:rPr>
  </w:style>
  <w:style w:type="paragraph" w:styleId="HTMLAddress">
    <w:name w:val="HTML Address"/>
    <w:basedOn w:val="Normal"/>
    <w:link w:val="HTMLAddressChar"/>
    <w:uiPriority w:val="99"/>
    <w:semiHidden/>
    <w:unhideWhenUsed/>
    <w:rsid w:val="0083378B"/>
    <w:rPr>
      <w:i/>
      <w:iCs/>
    </w:rPr>
  </w:style>
  <w:style w:type="character" w:customStyle="1" w:styleId="HTMLAddressChar">
    <w:name w:val="HTML Address Char"/>
    <w:basedOn w:val="DefaultParagraphFont"/>
    <w:link w:val="HTMLAddress"/>
    <w:uiPriority w:val="99"/>
    <w:semiHidden/>
    <w:rsid w:val="0083378B"/>
    <w:rPr>
      <w:rFonts w:ascii="Times New Roman" w:hAnsi="Times New Roman"/>
      <w:i/>
      <w:iCs/>
      <w:lang w:val="en-US" w:eastAsia="en-US"/>
    </w:rPr>
  </w:style>
  <w:style w:type="paragraph" w:styleId="Index1">
    <w:name w:val="index 1"/>
    <w:basedOn w:val="Normal"/>
    <w:next w:val="Normal"/>
    <w:autoRedefine/>
    <w:uiPriority w:val="99"/>
    <w:semiHidden/>
    <w:unhideWhenUsed/>
    <w:rsid w:val="0083378B"/>
    <w:pPr>
      <w:ind w:left="200" w:hanging="200"/>
    </w:pPr>
  </w:style>
  <w:style w:type="paragraph" w:styleId="Index2">
    <w:name w:val="index 2"/>
    <w:basedOn w:val="Normal"/>
    <w:next w:val="Normal"/>
    <w:autoRedefine/>
    <w:uiPriority w:val="99"/>
    <w:semiHidden/>
    <w:unhideWhenUsed/>
    <w:rsid w:val="0083378B"/>
    <w:pPr>
      <w:ind w:left="400" w:hanging="200"/>
    </w:pPr>
  </w:style>
  <w:style w:type="paragraph" w:styleId="Index3">
    <w:name w:val="index 3"/>
    <w:basedOn w:val="Normal"/>
    <w:next w:val="Normal"/>
    <w:autoRedefine/>
    <w:uiPriority w:val="99"/>
    <w:semiHidden/>
    <w:unhideWhenUsed/>
    <w:rsid w:val="0083378B"/>
    <w:pPr>
      <w:ind w:left="600" w:hanging="200"/>
    </w:pPr>
  </w:style>
  <w:style w:type="paragraph" w:styleId="Index4">
    <w:name w:val="index 4"/>
    <w:basedOn w:val="Normal"/>
    <w:next w:val="Normal"/>
    <w:autoRedefine/>
    <w:uiPriority w:val="99"/>
    <w:semiHidden/>
    <w:unhideWhenUsed/>
    <w:rsid w:val="0083378B"/>
    <w:pPr>
      <w:ind w:left="800" w:hanging="200"/>
    </w:pPr>
  </w:style>
  <w:style w:type="paragraph" w:styleId="Index5">
    <w:name w:val="index 5"/>
    <w:basedOn w:val="Normal"/>
    <w:next w:val="Normal"/>
    <w:autoRedefine/>
    <w:uiPriority w:val="99"/>
    <w:semiHidden/>
    <w:unhideWhenUsed/>
    <w:rsid w:val="0083378B"/>
    <w:pPr>
      <w:ind w:left="1000" w:hanging="200"/>
    </w:pPr>
  </w:style>
  <w:style w:type="paragraph" w:styleId="Index6">
    <w:name w:val="index 6"/>
    <w:basedOn w:val="Normal"/>
    <w:next w:val="Normal"/>
    <w:autoRedefine/>
    <w:uiPriority w:val="99"/>
    <w:semiHidden/>
    <w:unhideWhenUsed/>
    <w:rsid w:val="0083378B"/>
    <w:pPr>
      <w:ind w:left="1200" w:hanging="200"/>
    </w:pPr>
  </w:style>
  <w:style w:type="paragraph" w:styleId="Index7">
    <w:name w:val="index 7"/>
    <w:basedOn w:val="Normal"/>
    <w:next w:val="Normal"/>
    <w:autoRedefine/>
    <w:uiPriority w:val="99"/>
    <w:semiHidden/>
    <w:unhideWhenUsed/>
    <w:rsid w:val="0083378B"/>
    <w:pPr>
      <w:ind w:left="1400" w:hanging="200"/>
    </w:pPr>
  </w:style>
  <w:style w:type="paragraph" w:styleId="Index8">
    <w:name w:val="index 8"/>
    <w:basedOn w:val="Normal"/>
    <w:next w:val="Normal"/>
    <w:autoRedefine/>
    <w:uiPriority w:val="99"/>
    <w:semiHidden/>
    <w:unhideWhenUsed/>
    <w:rsid w:val="0083378B"/>
    <w:pPr>
      <w:ind w:left="1600" w:hanging="200"/>
    </w:pPr>
  </w:style>
  <w:style w:type="paragraph" w:styleId="IndexHeading">
    <w:name w:val="index heading"/>
    <w:basedOn w:val="Normal"/>
    <w:next w:val="Index1"/>
    <w:uiPriority w:val="99"/>
    <w:semiHidden/>
    <w:unhideWhenUsed/>
    <w:rsid w:val="0083378B"/>
    <w:rPr>
      <w:rFonts w:asciiTheme="majorHAnsi" w:eastAsiaTheme="majorEastAsia" w:hAnsiTheme="majorHAnsi" w:cstheme="majorBidi"/>
      <w:b/>
      <w:bCs/>
    </w:rPr>
  </w:style>
  <w:style w:type="paragraph" w:styleId="List">
    <w:name w:val="List"/>
    <w:basedOn w:val="Normal"/>
    <w:uiPriority w:val="99"/>
    <w:semiHidden/>
    <w:unhideWhenUsed/>
    <w:rsid w:val="0083378B"/>
    <w:pPr>
      <w:ind w:left="283" w:hanging="283"/>
      <w:contextualSpacing/>
    </w:pPr>
  </w:style>
  <w:style w:type="paragraph" w:styleId="List2">
    <w:name w:val="List 2"/>
    <w:basedOn w:val="Normal"/>
    <w:uiPriority w:val="99"/>
    <w:semiHidden/>
    <w:unhideWhenUsed/>
    <w:rsid w:val="0083378B"/>
    <w:pPr>
      <w:ind w:left="566" w:hanging="283"/>
      <w:contextualSpacing/>
    </w:pPr>
  </w:style>
  <w:style w:type="paragraph" w:styleId="List3">
    <w:name w:val="List 3"/>
    <w:basedOn w:val="Normal"/>
    <w:uiPriority w:val="99"/>
    <w:semiHidden/>
    <w:unhideWhenUsed/>
    <w:rsid w:val="0083378B"/>
    <w:pPr>
      <w:ind w:left="849" w:hanging="283"/>
      <w:contextualSpacing/>
    </w:pPr>
  </w:style>
  <w:style w:type="paragraph" w:styleId="List4">
    <w:name w:val="List 4"/>
    <w:basedOn w:val="Normal"/>
    <w:uiPriority w:val="99"/>
    <w:semiHidden/>
    <w:unhideWhenUsed/>
    <w:rsid w:val="0083378B"/>
    <w:pPr>
      <w:ind w:left="1132" w:hanging="283"/>
      <w:contextualSpacing/>
    </w:pPr>
  </w:style>
  <w:style w:type="paragraph" w:styleId="List5">
    <w:name w:val="List 5"/>
    <w:basedOn w:val="Normal"/>
    <w:uiPriority w:val="99"/>
    <w:semiHidden/>
    <w:unhideWhenUsed/>
    <w:rsid w:val="0083378B"/>
    <w:pPr>
      <w:ind w:left="1415" w:hanging="283"/>
      <w:contextualSpacing/>
    </w:pPr>
  </w:style>
  <w:style w:type="paragraph" w:styleId="ListBullet">
    <w:name w:val="List Bullet"/>
    <w:basedOn w:val="Normal"/>
    <w:uiPriority w:val="99"/>
    <w:semiHidden/>
    <w:unhideWhenUsed/>
    <w:rsid w:val="0083378B"/>
    <w:pPr>
      <w:numPr>
        <w:numId w:val="10"/>
      </w:numPr>
      <w:contextualSpacing/>
    </w:pPr>
  </w:style>
  <w:style w:type="paragraph" w:styleId="ListBullet2">
    <w:name w:val="List Bullet 2"/>
    <w:basedOn w:val="Normal"/>
    <w:uiPriority w:val="99"/>
    <w:semiHidden/>
    <w:unhideWhenUsed/>
    <w:rsid w:val="0083378B"/>
    <w:pPr>
      <w:numPr>
        <w:numId w:val="11"/>
      </w:numPr>
      <w:contextualSpacing/>
    </w:pPr>
  </w:style>
  <w:style w:type="paragraph" w:styleId="ListBullet3">
    <w:name w:val="List Bullet 3"/>
    <w:basedOn w:val="Normal"/>
    <w:uiPriority w:val="99"/>
    <w:semiHidden/>
    <w:unhideWhenUsed/>
    <w:rsid w:val="0083378B"/>
    <w:pPr>
      <w:numPr>
        <w:numId w:val="12"/>
      </w:numPr>
      <w:contextualSpacing/>
    </w:pPr>
  </w:style>
  <w:style w:type="paragraph" w:styleId="ListBullet4">
    <w:name w:val="List Bullet 4"/>
    <w:basedOn w:val="Normal"/>
    <w:uiPriority w:val="99"/>
    <w:semiHidden/>
    <w:unhideWhenUsed/>
    <w:rsid w:val="0083378B"/>
    <w:pPr>
      <w:numPr>
        <w:numId w:val="13"/>
      </w:numPr>
      <w:contextualSpacing/>
    </w:pPr>
  </w:style>
  <w:style w:type="paragraph" w:styleId="ListBullet5">
    <w:name w:val="List Bullet 5"/>
    <w:basedOn w:val="Normal"/>
    <w:uiPriority w:val="99"/>
    <w:semiHidden/>
    <w:unhideWhenUsed/>
    <w:rsid w:val="0083378B"/>
    <w:pPr>
      <w:numPr>
        <w:numId w:val="14"/>
      </w:numPr>
      <w:contextualSpacing/>
    </w:pPr>
  </w:style>
  <w:style w:type="paragraph" w:styleId="ListContinue">
    <w:name w:val="List Continue"/>
    <w:basedOn w:val="Normal"/>
    <w:uiPriority w:val="99"/>
    <w:semiHidden/>
    <w:unhideWhenUsed/>
    <w:rsid w:val="0083378B"/>
    <w:pPr>
      <w:ind w:left="283"/>
      <w:contextualSpacing/>
    </w:pPr>
  </w:style>
  <w:style w:type="paragraph" w:styleId="ListContinue2">
    <w:name w:val="List Continue 2"/>
    <w:basedOn w:val="Normal"/>
    <w:uiPriority w:val="99"/>
    <w:semiHidden/>
    <w:unhideWhenUsed/>
    <w:rsid w:val="0083378B"/>
    <w:pPr>
      <w:ind w:left="566"/>
      <w:contextualSpacing/>
    </w:pPr>
  </w:style>
  <w:style w:type="paragraph" w:styleId="ListContinue3">
    <w:name w:val="List Continue 3"/>
    <w:basedOn w:val="Normal"/>
    <w:uiPriority w:val="99"/>
    <w:semiHidden/>
    <w:unhideWhenUsed/>
    <w:rsid w:val="0083378B"/>
    <w:pPr>
      <w:ind w:left="849"/>
      <w:contextualSpacing/>
    </w:pPr>
  </w:style>
  <w:style w:type="paragraph" w:styleId="ListContinue4">
    <w:name w:val="List Continue 4"/>
    <w:basedOn w:val="Normal"/>
    <w:uiPriority w:val="99"/>
    <w:semiHidden/>
    <w:unhideWhenUsed/>
    <w:rsid w:val="0083378B"/>
    <w:pPr>
      <w:ind w:left="1132"/>
      <w:contextualSpacing/>
    </w:pPr>
  </w:style>
  <w:style w:type="paragraph" w:styleId="ListContinue5">
    <w:name w:val="List Continue 5"/>
    <w:basedOn w:val="Normal"/>
    <w:uiPriority w:val="99"/>
    <w:semiHidden/>
    <w:unhideWhenUsed/>
    <w:rsid w:val="0083378B"/>
    <w:pPr>
      <w:ind w:left="1415"/>
      <w:contextualSpacing/>
    </w:pPr>
  </w:style>
  <w:style w:type="paragraph" w:styleId="ListNumber">
    <w:name w:val="List Number"/>
    <w:basedOn w:val="Normal"/>
    <w:uiPriority w:val="99"/>
    <w:semiHidden/>
    <w:unhideWhenUsed/>
    <w:rsid w:val="0083378B"/>
    <w:pPr>
      <w:numPr>
        <w:numId w:val="15"/>
      </w:numPr>
      <w:contextualSpacing/>
    </w:pPr>
  </w:style>
  <w:style w:type="paragraph" w:styleId="ListNumber2">
    <w:name w:val="List Number 2"/>
    <w:basedOn w:val="Normal"/>
    <w:uiPriority w:val="99"/>
    <w:semiHidden/>
    <w:unhideWhenUsed/>
    <w:rsid w:val="0083378B"/>
    <w:pPr>
      <w:numPr>
        <w:numId w:val="16"/>
      </w:numPr>
      <w:contextualSpacing/>
    </w:pPr>
  </w:style>
  <w:style w:type="paragraph" w:styleId="ListNumber3">
    <w:name w:val="List Number 3"/>
    <w:basedOn w:val="Normal"/>
    <w:uiPriority w:val="99"/>
    <w:semiHidden/>
    <w:unhideWhenUsed/>
    <w:rsid w:val="0083378B"/>
    <w:pPr>
      <w:numPr>
        <w:numId w:val="17"/>
      </w:numPr>
      <w:contextualSpacing/>
    </w:pPr>
  </w:style>
  <w:style w:type="paragraph" w:styleId="ListNumber4">
    <w:name w:val="List Number 4"/>
    <w:basedOn w:val="Normal"/>
    <w:uiPriority w:val="99"/>
    <w:semiHidden/>
    <w:unhideWhenUsed/>
    <w:rsid w:val="0083378B"/>
    <w:pPr>
      <w:numPr>
        <w:numId w:val="18"/>
      </w:numPr>
      <w:contextualSpacing/>
    </w:pPr>
  </w:style>
  <w:style w:type="paragraph" w:styleId="ListNumber5">
    <w:name w:val="List Number 5"/>
    <w:basedOn w:val="Normal"/>
    <w:uiPriority w:val="99"/>
    <w:semiHidden/>
    <w:unhideWhenUsed/>
    <w:rsid w:val="0083378B"/>
    <w:pPr>
      <w:numPr>
        <w:numId w:val="19"/>
      </w:numPr>
      <w:contextualSpacing/>
    </w:pPr>
  </w:style>
  <w:style w:type="paragraph" w:styleId="MacroText">
    <w:name w:val="macro"/>
    <w:link w:val="MacroTextChar"/>
    <w:uiPriority w:val="99"/>
    <w:semiHidden/>
    <w:unhideWhenUsed/>
    <w:rsid w:val="0083378B"/>
    <w:pPr>
      <w:tabs>
        <w:tab w:val="left" w:pos="480"/>
        <w:tab w:val="left" w:pos="960"/>
        <w:tab w:val="left" w:pos="1440"/>
        <w:tab w:val="left" w:pos="1920"/>
        <w:tab w:val="left" w:pos="2400"/>
        <w:tab w:val="left" w:pos="2880"/>
        <w:tab w:val="left" w:pos="3360"/>
        <w:tab w:val="left" w:pos="3840"/>
        <w:tab w:val="left" w:pos="4320"/>
      </w:tabs>
      <w:snapToGrid w:val="0"/>
    </w:pPr>
    <w:rPr>
      <w:rFonts w:ascii="Consolas" w:hAnsi="Consolas" w:cs="Consolas"/>
      <w:lang w:val="en-US" w:eastAsia="en-US"/>
    </w:rPr>
  </w:style>
  <w:style w:type="character" w:customStyle="1" w:styleId="MacroTextChar">
    <w:name w:val="Macro Text Char"/>
    <w:basedOn w:val="DefaultParagraphFont"/>
    <w:link w:val="MacroText"/>
    <w:uiPriority w:val="99"/>
    <w:semiHidden/>
    <w:rsid w:val="0083378B"/>
    <w:rPr>
      <w:rFonts w:ascii="Consolas" w:hAnsi="Consolas" w:cs="Consolas"/>
      <w:lang w:val="en-US" w:eastAsia="en-US"/>
    </w:rPr>
  </w:style>
  <w:style w:type="paragraph" w:styleId="MessageHeader">
    <w:name w:val="Message Header"/>
    <w:basedOn w:val="Normal"/>
    <w:link w:val="MessageHeaderChar"/>
    <w:uiPriority w:val="99"/>
    <w:semiHidden/>
    <w:unhideWhenUsed/>
    <w:rsid w:val="0083378B"/>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3378B"/>
    <w:rPr>
      <w:rFonts w:asciiTheme="majorHAnsi" w:eastAsiaTheme="majorEastAsia" w:hAnsiTheme="majorHAnsi" w:cstheme="majorBidi"/>
      <w:sz w:val="24"/>
      <w:szCs w:val="24"/>
      <w:shd w:val="pct20" w:color="auto" w:fill="auto"/>
      <w:lang w:val="en-US" w:eastAsia="en-US"/>
    </w:rPr>
  </w:style>
  <w:style w:type="paragraph" w:styleId="NormalIndent">
    <w:name w:val="Normal Indent"/>
    <w:basedOn w:val="Normal"/>
    <w:uiPriority w:val="99"/>
    <w:semiHidden/>
    <w:unhideWhenUsed/>
    <w:rsid w:val="0083378B"/>
    <w:pPr>
      <w:ind w:left="720"/>
    </w:pPr>
  </w:style>
  <w:style w:type="paragraph" w:styleId="NoteHeading">
    <w:name w:val="Note Heading"/>
    <w:basedOn w:val="Normal"/>
    <w:next w:val="Normal"/>
    <w:link w:val="NoteHeadingChar"/>
    <w:uiPriority w:val="99"/>
    <w:semiHidden/>
    <w:unhideWhenUsed/>
    <w:rsid w:val="0083378B"/>
  </w:style>
  <w:style w:type="character" w:customStyle="1" w:styleId="NoteHeadingChar">
    <w:name w:val="Note Heading Char"/>
    <w:basedOn w:val="DefaultParagraphFont"/>
    <w:link w:val="NoteHeading"/>
    <w:uiPriority w:val="99"/>
    <w:semiHidden/>
    <w:rsid w:val="0083378B"/>
    <w:rPr>
      <w:rFonts w:ascii="Times New Roman" w:hAnsi="Times New Roman"/>
      <w:lang w:val="en-US" w:eastAsia="en-US"/>
    </w:rPr>
  </w:style>
  <w:style w:type="paragraph" w:styleId="PlainText">
    <w:name w:val="Plain Text"/>
    <w:basedOn w:val="Normal"/>
    <w:link w:val="PlainTextChar"/>
    <w:uiPriority w:val="99"/>
    <w:semiHidden/>
    <w:unhideWhenUsed/>
    <w:rsid w:val="0083378B"/>
    <w:rPr>
      <w:rFonts w:ascii="Consolas" w:hAnsi="Consolas" w:cs="Consolas"/>
      <w:sz w:val="21"/>
      <w:szCs w:val="21"/>
    </w:rPr>
  </w:style>
  <w:style w:type="character" w:customStyle="1" w:styleId="PlainTextChar">
    <w:name w:val="Plain Text Char"/>
    <w:basedOn w:val="DefaultParagraphFont"/>
    <w:link w:val="PlainText"/>
    <w:uiPriority w:val="99"/>
    <w:semiHidden/>
    <w:rsid w:val="0083378B"/>
    <w:rPr>
      <w:rFonts w:ascii="Consolas" w:hAnsi="Consolas" w:cs="Consolas"/>
      <w:sz w:val="21"/>
      <w:szCs w:val="21"/>
      <w:lang w:val="en-US" w:eastAsia="en-US"/>
    </w:rPr>
  </w:style>
  <w:style w:type="paragraph" w:styleId="Signature">
    <w:name w:val="Signature"/>
    <w:basedOn w:val="Normal"/>
    <w:link w:val="SignatureChar"/>
    <w:uiPriority w:val="99"/>
    <w:semiHidden/>
    <w:unhideWhenUsed/>
    <w:rsid w:val="0083378B"/>
    <w:pPr>
      <w:ind w:left="4252"/>
    </w:pPr>
  </w:style>
  <w:style w:type="character" w:customStyle="1" w:styleId="SignatureChar">
    <w:name w:val="Signature Char"/>
    <w:basedOn w:val="DefaultParagraphFont"/>
    <w:link w:val="Signature"/>
    <w:uiPriority w:val="99"/>
    <w:semiHidden/>
    <w:rsid w:val="0083378B"/>
    <w:rPr>
      <w:rFonts w:ascii="Times New Roman" w:hAnsi="Times New Roman"/>
      <w:lang w:val="en-US" w:eastAsia="en-US"/>
    </w:rPr>
  </w:style>
  <w:style w:type="paragraph" w:styleId="TableofAuthorities">
    <w:name w:val="table of authorities"/>
    <w:basedOn w:val="Normal"/>
    <w:next w:val="Normal"/>
    <w:uiPriority w:val="99"/>
    <w:semiHidden/>
    <w:unhideWhenUsed/>
    <w:rsid w:val="0083378B"/>
    <w:pPr>
      <w:ind w:left="200" w:hanging="200"/>
    </w:pPr>
  </w:style>
  <w:style w:type="paragraph" w:styleId="TableofFigures">
    <w:name w:val="table of figures"/>
    <w:basedOn w:val="Normal"/>
    <w:next w:val="Normal"/>
    <w:uiPriority w:val="99"/>
    <w:semiHidden/>
    <w:unhideWhenUsed/>
    <w:rsid w:val="0083378B"/>
  </w:style>
  <w:style w:type="paragraph" w:styleId="TOAHeading">
    <w:name w:val="toa heading"/>
    <w:basedOn w:val="Normal"/>
    <w:next w:val="Normal"/>
    <w:uiPriority w:val="99"/>
    <w:semiHidden/>
    <w:unhideWhenUsed/>
    <w:rsid w:val="0083378B"/>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83378B"/>
    <w:pPr>
      <w:spacing w:after="100"/>
    </w:pPr>
  </w:style>
  <w:style w:type="paragraph" w:styleId="TOC2">
    <w:name w:val="toc 2"/>
    <w:basedOn w:val="Normal"/>
    <w:next w:val="Normal"/>
    <w:autoRedefine/>
    <w:uiPriority w:val="39"/>
    <w:semiHidden/>
    <w:unhideWhenUsed/>
    <w:rsid w:val="0083378B"/>
    <w:pPr>
      <w:spacing w:after="100"/>
      <w:ind w:left="200"/>
    </w:pPr>
  </w:style>
  <w:style w:type="paragraph" w:styleId="TOC3">
    <w:name w:val="toc 3"/>
    <w:basedOn w:val="Normal"/>
    <w:next w:val="Normal"/>
    <w:autoRedefine/>
    <w:uiPriority w:val="39"/>
    <w:semiHidden/>
    <w:unhideWhenUsed/>
    <w:rsid w:val="0083378B"/>
    <w:pPr>
      <w:spacing w:after="100"/>
      <w:ind w:left="400"/>
    </w:pPr>
  </w:style>
  <w:style w:type="paragraph" w:styleId="TOC4">
    <w:name w:val="toc 4"/>
    <w:basedOn w:val="Normal"/>
    <w:next w:val="Normal"/>
    <w:autoRedefine/>
    <w:uiPriority w:val="39"/>
    <w:semiHidden/>
    <w:unhideWhenUsed/>
    <w:rsid w:val="0083378B"/>
    <w:pPr>
      <w:spacing w:after="100"/>
      <w:ind w:left="600"/>
    </w:pPr>
  </w:style>
  <w:style w:type="paragraph" w:styleId="TOC5">
    <w:name w:val="toc 5"/>
    <w:basedOn w:val="Normal"/>
    <w:next w:val="Normal"/>
    <w:autoRedefine/>
    <w:uiPriority w:val="39"/>
    <w:semiHidden/>
    <w:unhideWhenUsed/>
    <w:rsid w:val="0083378B"/>
    <w:pPr>
      <w:spacing w:after="100"/>
      <w:ind w:left="800"/>
    </w:pPr>
  </w:style>
  <w:style w:type="paragraph" w:styleId="TOC6">
    <w:name w:val="toc 6"/>
    <w:basedOn w:val="Normal"/>
    <w:next w:val="Normal"/>
    <w:autoRedefine/>
    <w:uiPriority w:val="39"/>
    <w:semiHidden/>
    <w:unhideWhenUsed/>
    <w:rsid w:val="0083378B"/>
    <w:pPr>
      <w:spacing w:after="100"/>
      <w:ind w:left="1000"/>
    </w:pPr>
  </w:style>
  <w:style w:type="paragraph" w:styleId="TOC7">
    <w:name w:val="toc 7"/>
    <w:basedOn w:val="Normal"/>
    <w:next w:val="Normal"/>
    <w:autoRedefine/>
    <w:uiPriority w:val="39"/>
    <w:semiHidden/>
    <w:unhideWhenUsed/>
    <w:rsid w:val="0083378B"/>
    <w:pPr>
      <w:spacing w:after="100"/>
      <w:ind w:left="1200"/>
    </w:pPr>
  </w:style>
  <w:style w:type="paragraph" w:styleId="TOC8">
    <w:name w:val="toc 8"/>
    <w:basedOn w:val="Normal"/>
    <w:next w:val="Normal"/>
    <w:autoRedefine/>
    <w:uiPriority w:val="39"/>
    <w:semiHidden/>
    <w:unhideWhenUsed/>
    <w:rsid w:val="0083378B"/>
    <w:pPr>
      <w:spacing w:after="100"/>
      <w:ind w:left="1400"/>
    </w:pPr>
  </w:style>
  <w:style w:type="paragraph" w:styleId="TOC9">
    <w:name w:val="toc 9"/>
    <w:basedOn w:val="Normal"/>
    <w:next w:val="Normal"/>
    <w:autoRedefine/>
    <w:uiPriority w:val="39"/>
    <w:semiHidden/>
    <w:unhideWhenUsed/>
    <w:rsid w:val="0083378B"/>
    <w:pPr>
      <w:spacing w:after="100"/>
      <w:ind w:left="1600"/>
    </w:pPr>
  </w:style>
  <w:style w:type="paragraph" w:styleId="TOCHeading">
    <w:name w:val="TOC Heading"/>
    <w:basedOn w:val="Heading1"/>
    <w:next w:val="Normal"/>
    <w:uiPriority w:val="39"/>
    <w:semiHidden/>
    <w:unhideWhenUsed/>
    <w:qFormat/>
    <w:rsid w:val="0083378B"/>
    <w:pPr>
      <w:keepLines/>
      <w:spacing w:before="480"/>
      <w:outlineLvl w:val="9"/>
    </w:pPr>
    <w:rPr>
      <w:rFonts w:asciiTheme="majorHAnsi" w:eastAsiaTheme="majorEastAsia" w:hAnsiTheme="majorHAnsi" w:cstheme="majorBidi"/>
      <w:color w:val="365F91" w:themeColor="accent1" w:themeShade="BF"/>
      <w:kern w:val="0"/>
      <w:szCs w:val="28"/>
    </w:rPr>
  </w:style>
  <w:style w:type="character" w:customStyle="1" w:styleId="UnresolvedMention1">
    <w:name w:val="Unresolved Mention1"/>
    <w:basedOn w:val="DefaultParagraphFont"/>
    <w:uiPriority w:val="99"/>
    <w:semiHidden/>
    <w:unhideWhenUsed/>
    <w:rsid w:val="004C48FC"/>
    <w:rPr>
      <w:color w:val="605E5C"/>
      <w:shd w:val="clear" w:color="auto" w:fill="E1DFDD"/>
    </w:rPr>
  </w:style>
  <w:style w:type="paragraph" w:styleId="CommentText">
    <w:name w:val="annotation text"/>
    <w:basedOn w:val="Normal"/>
    <w:link w:val="CommentTextChar"/>
    <w:uiPriority w:val="99"/>
    <w:pPr>
      <w:spacing w:line="240" w:lineRule="auto"/>
    </w:pPr>
  </w:style>
  <w:style w:type="character" w:customStyle="1" w:styleId="CommentTextChar">
    <w:name w:val="Comment Text Char"/>
    <w:basedOn w:val="DefaultParagraphFont"/>
    <w:link w:val="CommentText"/>
    <w:uiPriority w:val="99"/>
    <w:rPr>
      <w:rFonts w:ascii="Arial" w:hAnsi="Arial" w:cs="Arial"/>
      <w:lang w:val="en-US" w:eastAsia="en-US"/>
    </w:rPr>
  </w:style>
  <w:style w:type="character" w:styleId="CommentReference">
    <w:name w:val="annotation reference"/>
    <w:basedOn w:val="DefaultParagraphFont"/>
    <w:uiPriority w:val="99"/>
    <w:semiHidden/>
    <w:rPr>
      <w:sz w:val="16"/>
      <w:szCs w:val="16"/>
    </w:rPr>
  </w:style>
  <w:style w:type="paragraph" w:customStyle="1" w:styleId="Instructions">
    <w:name w:val="Instructions"/>
    <w:basedOn w:val="Normal"/>
    <w:link w:val="InstructionsChar"/>
    <w:rsid w:val="00981568"/>
    <w:rPr>
      <w:rFonts w:ascii="Arial" w:hAnsi="Arial"/>
      <w:sz w:val="20"/>
    </w:rPr>
  </w:style>
  <w:style w:type="character" w:customStyle="1" w:styleId="InstructionsChar">
    <w:name w:val="Instructions Char"/>
    <w:basedOn w:val="DefaultParagraphFont"/>
    <w:link w:val="Instructions"/>
    <w:rsid w:val="00981568"/>
    <w:rPr>
      <w:rFonts w:ascii="Arial" w:hAnsi="Arial"/>
      <w:lang w:val="en-US" w:eastAsia="en-US"/>
    </w:rPr>
  </w:style>
  <w:style w:type="paragraph" w:styleId="Header">
    <w:name w:val="header"/>
    <w:basedOn w:val="Normal"/>
    <w:link w:val="HeaderChar"/>
    <w:uiPriority w:val="99"/>
    <w:unhideWhenUsed/>
    <w:rsid w:val="005A0582"/>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5A0582"/>
    <w:rPr>
      <w:rFonts w:ascii="Times New Roman" w:hAnsi="Times New Roman"/>
      <w:sz w:val="24"/>
      <w:lang w:val="en-US" w:eastAsia="en-US"/>
    </w:rPr>
  </w:style>
  <w:style w:type="character" w:styleId="Hyperlink">
    <w:name w:val="Hyperlink"/>
    <w:basedOn w:val="DefaultParagraphFont"/>
    <w:uiPriority w:val="99"/>
    <w:semiHidden/>
    <w:rsid w:val="00F16F98"/>
    <w:rPr>
      <w:color w:val="0000FF" w:themeColor="hyperlink"/>
      <w:u w:val="single"/>
    </w:rPr>
  </w:style>
  <w:style w:type="character" w:customStyle="1" w:styleId="UnresolvedMention2">
    <w:name w:val="Unresolved Mention2"/>
    <w:basedOn w:val="DefaultParagraphFont"/>
    <w:uiPriority w:val="99"/>
    <w:semiHidden/>
    <w:unhideWhenUsed/>
    <w:rsid w:val="00F16F98"/>
    <w:rPr>
      <w:color w:val="605E5C"/>
      <w:shd w:val="clear" w:color="auto" w:fill="E1DFDD"/>
    </w:rPr>
  </w:style>
  <w:style w:type="paragraph" w:customStyle="1" w:styleId="Table">
    <w:name w:val="Table"/>
    <w:basedOn w:val="ParagraphText"/>
    <w:link w:val="TableChar"/>
    <w:qFormat/>
    <w:rsid w:val="006431F0"/>
    <w:pPr>
      <w:ind w:firstLine="0"/>
    </w:pPr>
  </w:style>
  <w:style w:type="character" w:customStyle="1" w:styleId="ParagraphTextChar">
    <w:name w:val="Paragraph Text Char"/>
    <w:basedOn w:val="DefaultParagraphFont"/>
    <w:link w:val="ParagraphText"/>
    <w:rsid w:val="00981568"/>
    <w:rPr>
      <w:rFonts w:ascii="Times New Roman" w:hAnsi="Times New Roman"/>
      <w:sz w:val="24"/>
      <w:lang w:val="en-US" w:eastAsia="en-US"/>
    </w:rPr>
  </w:style>
  <w:style w:type="character" w:customStyle="1" w:styleId="TableChar">
    <w:name w:val="Table Char"/>
    <w:basedOn w:val="ParagraphTextChar"/>
    <w:link w:val="Table"/>
    <w:rsid w:val="006431F0"/>
    <w:rPr>
      <w:rFonts w:ascii="Times New Roman" w:hAnsi="Times New Roman"/>
      <w:sz w:val="24"/>
      <w:lang w:val="en-US" w:eastAsia="en-US"/>
    </w:rPr>
  </w:style>
  <w:style w:type="paragraph" w:styleId="ListParagraph">
    <w:name w:val="List Paragraph"/>
    <w:basedOn w:val="Normal"/>
    <w:uiPriority w:val="34"/>
    <w:qFormat/>
    <w:rsid w:val="00513A2E"/>
    <w:pPr>
      <w:snapToGrid/>
      <w:spacing w:before="0" w:after="0" w:line="240" w:lineRule="auto"/>
      <w:ind w:left="720" w:firstLine="0"/>
      <w:contextualSpacing/>
    </w:pPr>
    <w:rPr>
      <w:rFonts w:asciiTheme="minorHAnsi" w:eastAsiaTheme="minorEastAsia" w:hAnsiTheme="minorHAnsi" w:cstheme="minorBidi"/>
      <w:szCs w:val="24"/>
    </w:rPr>
  </w:style>
  <w:style w:type="character" w:styleId="FollowedHyperlink">
    <w:name w:val="FollowedHyperlink"/>
    <w:basedOn w:val="DefaultParagraphFont"/>
    <w:uiPriority w:val="99"/>
    <w:semiHidden/>
    <w:rsid w:val="00736BB5"/>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1935C6"/>
    <w:rPr>
      <w:b/>
      <w:bCs/>
      <w:sz w:val="20"/>
    </w:rPr>
  </w:style>
  <w:style w:type="character" w:customStyle="1" w:styleId="CommentSubjectChar">
    <w:name w:val="Comment Subject Char"/>
    <w:basedOn w:val="CommentTextChar"/>
    <w:link w:val="CommentSubject"/>
    <w:uiPriority w:val="99"/>
    <w:semiHidden/>
    <w:rsid w:val="001935C6"/>
    <w:rPr>
      <w:rFonts w:ascii="Times New Roman" w:hAnsi="Times New Roman" w:cs="Arial"/>
      <w:b/>
      <w:bCs/>
      <w:lang w:val="en-US" w:eastAsia="en-US"/>
    </w:rPr>
  </w:style>
  <w:style w:type="character" w:customStyle="1" w:styleId="UnresolvedMention3">
    <w:name w:val="Unresolved Mention3"/>
    <w:basedOn w:val="DefaultParagraphFont"/>
    <w:uiPriority w:val="99"/>
    <w:semiHidden/>
    <w:unhideWhenUsed/>
    <w:rsid w:val="002312FA"/>
    <w:rPr>
      <w:color w:val="605E5C"/>
      <w:shd w:val="clear" w:color="auto" w:fill="E1DFDD"/>
    </w:rPr>
  </w:style>
  <w:style w:type="table" w:customStyle="1" w:styleId="TableGrid2">
    <w:name w:val="Table Grid2"/>
    <w:basedOn w:val="TableNormal"/>
    <w:next w:val="TableGrid"/>
    <w:uiPriority w:val="59"/>
    <w:rsid w:val="00007712"/>
    <w:rPr>
      <w:rFonts w:ascii="Cambria" w:eastAsia="MS Mincho" w:hAnsi="Cambria"/>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C5625"/>
    <w:rPr>
      <w:rFonts w:ascii="Cambria" w:eastAsia="MS Mincho" w:hAnsi="Cambria"/>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414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4983">
      <w:bodyDiv w:val="1"/>
      <w:marLeft w:val="0"/>
      <w:marRight w:val="0"/>
      <w:marTop w:val="0"/>
      <w:marBottom w:val="0"/>
      <w:divBdr>
        <w:top w:val="none" w:sz="0" w:space="0" w:color="auto"/>
        <w:left w:val="none" w:sz="0" w:space="0" w:color="auto"/>
        <w:bottom w:val="none" w:sz="0" w:space="0" w:color="auto"/>
        <w:right w:val="none" w:sz="0" w:space="0" w:color="auto"/>
      </w:divBdr>
    </w:div>
    <w:div w:id="306323085">
      <w:bodyDiv w:val="1"/>
      <w:marLeft w:val="0"/>
      <w:marRight w:val="0"/>
      <w:marTop w:val="0"/>
      <w:marBottom w:val="0"/>
      <w:divBdr>
        <w:top w:val="none" w:sz="0" w:space="0" w:color="auto"/>
        <w:left w:val="none" w:sz="0" w:space="0" w:color="auto"/>
        <w:bottom w:val="none" w:sz="0" w:space="0" w:color="auto"/>
        <w:right w:val="none" w:sz="0" w:space="0" w:color="auto"/>
      </w:divBdr>
    </w:div>
    <w:div w:id="314070777">
      <w:bodyDiv w:val="1"/>
      <w:marLeft w:val="0"/>
      <w:marRight w:val="0"/>
      <w:marTop w:val="0"/>
      <w:marBottom w:val="0"/>
      <w:divBdr>
        <w:top w:val="none" w:sz="0" w:space="0" w:color="auto"/>
        <w:left w:val="none" w:sz="0" w:space="0" w:color="auto"/>
        <w:bottom w:val="none" w:sz="0" w:space="0" w:color="auto"/>
        <w:right w:val="none" w:sz="0" w:space="0" w:color="auto"/>
      </w:divBdr>
    </w:div>
    <w:div w:id="366030224">
      <w:bodyDiv w:val="1"/>
      <w:marLeft w:val="0"/>
      <w:marRight w:val="0"/>
      <w:marTop w:val="0"/>
      <w:marBottom w:val="0"/>
      <w:divBdr>
        <w:top w:val="none" w:sz="0" w:space="0" w:color="auto"/>
        <w:left w:val="none" w:sz="0" w:space="0" w:color="auto"/>
        <w:bottom w:val="none" w:sz="0" w:space="0" w:color="auto"/>
        <w:right w:val="none" w:sz="0" w:space="0" w:color="auto"/>
      </w:divBdr>
    </w:div>
    <w:div w:id="401488898">
      <w:bodyDiv w:val="1"/>
      <w:marLeft w:val="0"/>
      <w:marRight w:val="0"/>
      <w:marTop w:val="0"/>
      <w:marBottom w:val="0"/>
      <w:divBdr>
        <w:top w:val="none" w:sz="0" w:space="0" w:color="auto"/>
        <w:left w:val="none" w:sz="0" w:space="0" w:color="auto"/>
        <w:bottom w:val="none" w:sz="0" w:space="0" w:color="auto"/>
        <w:right w:val="none" w:sz="0" w:space="0" w:color="auto"/>
      </w:divBdr>
    </w:div>
    <w:div w:id="595283258">
      <w:bodyDiv w:val="1"/>
      <w:marLeft w:val="0"/>
      <w:marRight w:val="0"/>
      <w:marTop w:val="0"/>
      <w:marBottom w:val="0"/>
      <w:divBdr>
        <w:top w:val="none" w:sz="0" w:space="0" w:color="auto"/>
        <w:left w:val="none" w:sz="0" w:space="0" w:color="auto"/>
        <w:bottom w:val="none" w:sz="0" w:space="0" w:color="auto"/>
        <w:right w:val="none" w:sz="0" w:space="0" w:color="auto"/>
      </w:divBdr>
    </w:div>
    <w:div w:id="718286526">
      <w:bodyDiv w:val="1"/>
      <w:marLeft w:val="0"/>
      <w:marRight w:val="0"/>
      <w:marTop w:val="0"/>
      <w:marBottom w:val="0"/>
      <w:divBdr>
        <w:top w:val="none" w:sz="0" w:space="0" w:color="auto"/>
        <w:left w:val="none" w:sz="0" w:space="0" w:color="auto"/>
        <w:bottom w:val="none" w:sz="0" w:space="0" w:color="auto"/>
        <w:right w:val="none" w:sz="0" w:space="0" w:color="auto"/>
      </w:divBdr>
    </w:div>
    <w:div w:id="738016692">
      <w:bodyDiv w:val="1"/>
      <w:marLeft w:val="0"/>
      <w:marRight w:val="0"/>
      <w:marTop w:val="0"/>
      <w:marBottom w:val="0"/>
      <w:divBdr>
        <w:top w:val="none" w:sz="0" w:space="0" w:color="auto"/>
        <w:left w:val="none" w:sz="0" w:space="0" w:color="auto"/>
        <w:bottom w:val="none" w:sz="0" w:space="0" w:color="auto"/>
        <w:right w:val="none" w:sz="0" w:space="0" w:color="auto"/>
      </w:divBdr>
    </w:div>
    <w:div w:id="971013946">
      <w:bodyDiv w:val="1"/>
      <w:marLeft w:val="0"/>
      <w:marRight w:val="0"/>
      <w:marTop w:val="0"/>
      <w:marBottom w:val="0"/>
      <w:divBdr>
        <w:top w:val="none" w:sz="0" w:space="0" w:color="auto"/>
        <w:left w:val="none" w:sz="0" w:space="0" w:color="auto"/>
        <w:bottom w:val="none" w:sz="0" w:space="0" w:color="auto"/>
        <w:right w:val="none" w:sz="0" w:space="0" w:color="auto"/>
      </w:divBdr>
    </w:div>
    <w:div w:id="1035039465">
      <w:bodyDiv w:val="1"/>
      <w:marLeft w:val="0"/>
      <w:marRight w:val="0"/>
      <w:marTop w:val="0"/>
      <w:marBottom w:val="0"/>
      <w:divBdr>
        <w:top w:val="none" w:sz="0" w:space="0" w:color="auto"/>
        <w:left w:val="none" w:sz="0" w:space="0" w:color="auto"/>
        <w:bottom w:val="none" w:sz="0" w:space="0" w:color="auto"/>
        <w:right w:val="none" w:sz="0" w:space="0" w:color="auto"/>
      </w:divBdr>
    </w:div>
    <w:div w:id="1759786432">
      <w:bodyDiv w:val="1"/>
      <w:marLeft w:val="0"/>
      <w:marRight w:val="0"/>
      <w:marTop w:val="0"/>
      <w:marBottom w:val="0"/>
      <w:divBdr>
        <w:top w:val="none" w:sz="0" w:space="0" w:color="auto"/>
        <w:left w:val="none" w:sz="0" w:space="0" w:color="auto"/>
        <w:bottom w:val="none" w:sz="0" w:space="0" w:color="auto"/>
        <w:right w:val="none" w:sz="0" w:space="0" w:color="auto"/>
      </w:divBdr>
    </w:div>
    <w:div w:id="194021778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02/2017GL075841" TargetMode="External"/><Relationship Id="rId21" Type="http://schemas.openxmlformats.org/officeDocument/2006/relationships/hyperlink" Target="https://psl.noaa.gov/forecasts/reforecast2/" TargetMode="External"/><Relationship Id="rId42" Type="http://schemas.openxmlformats.org/officeDocument/2006/relationships/hyperlink" Target="https://doi.org/10.1029/2020GL090353" TargetMode="External"/><Relationship Id="rId47" Type="http://schemas.openxmlformats.org/officeDocument/2006/relationships/hyperlink" Target="https://doi.org/10.1175/BAMS-D-12-00014.1" TargetMode="External"/><Relationship Id="rId63" Type="http://schemas.openxmlformats.org/officeDocument/2006/relationships/hyperlink" Target="https://doi.org/10.1175/JCLI-D-17-0386.1" TargetMode="External"/><Relationship Id="rId68" Type="http://schemas.openxmlformats.org/officeDocument/2006/relationships/hyperlink" Target="https://doi.org/10.1175/BAMS-D-12-00099.1" TargetMode="External"/><Relationship Id="rId84" Type="http://schemas.openxmlformats.org/officeDocument/2006/relationships/hyperlink" Target="https://doi.org/10.1175/1520-0493(2004)132%3c0703:SIAAPA%3e2.0.CO;2" TargetMode="External"/><Relationship Id="rId89" Type="http://schemas.openxmlformats.org/officeDocument/2006/relationships/hyperlink" Target="https://doi.org/10.1002/asl.757"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hyperlink" Target="https://doi.org/10.1175/2010MWR3371.1" TargetMode="External"/><Relationship Id="rId37" Type="http://schemas.openxmlformats.org/officeDocument/2006/relationships/hyperlink" Target="https://doi.org/10.1175/MWR-D-12-00242.1" TargetMode="External"/><Relationship Id="rId53" Type="http://schemas.openxmlformats.org/officeDocument/2006/relationships/hyperlink" Target="https://doi.org/10.1002/qj.99" TargetMode="External"/><Relationship Id="rId58" Type="http://schemas.openxmlformats.org/officeDocument/2006/relationships/hyperlink" Target="https://www.tandfonline.com/doi/full/10.3402/tellusa.v64i0.17531" TargetMode="External"/><Relationship Id="rId74" Type="http://schemas.openxmlformats.org/officeDocument/2006/relationships/hyperlink" Target="https://doi.org/10.1029/2012GL054259" TargetMode="External"/><Relationship Id="rId79" Type="http://schemas.openxmlformats.org/officeDocument/2006/relationships/hyperlink" Target="https://doi.org/10.1002/qj.3055" TargetMode="External"/><Relationship Id="rId102"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hyperlink" Target="https://doi.org/10.1016/j.polar.2018.01.002" TargetMode="External"/><Relationship Id="rId95" Type="http://schemas.openxmlformats.org/officeDocument/2006/relationships/hyperlink" Target="https://doi.org/10.1175/JAS4028.1" TargetMode="External"/><Relationship Id="rId22" Type="http://schemas.openxmlformats.org/officeDocument/2006/relationships/hyperlink" Target="https://doi.org/10.1007/s00703-013-0272-6" TargetMode="External"/><Relationship Id="rId27" Type="http://schemas.openxmlformats.org/officeDocument/2006/relationships/hyperlink" Target="https://doi.org/10.1029/2022JD037161" TargetMode="External"/><Relationship Id="rId43" Type="http://schemas.openxmlformats.org/officeDocument/2006/relationships/hyperlink" Target="https://doi.org/10.1175/2010WAF2222326.1" TargetMode="External"/><Relationship Id="rId48" Type="http://schemas.openxmlformats.org/officeDocument/2006/relationships/hyperlink" Target="https://doi.org/10.1002/qj.3803" TargetMode="External"/><Relationship Id="rId64" Type="http://schemas.openxmlformats.org/officeDocument/2006/relationships/hyperlink" Target="https://www.proquest.com/openview/4ee7040dae0befb4c6d0833e012af300" TargetMode="External"/><Relationship Id="rId69" Type="http://schemas.openxmlformats.org/officeDocument/2006/relationships/hyperlink" Target="https://doi.org/10.1175/1520-0493(1986)114%3c2207:ECOTWC%3e2.0.CO;2" TargetMode="External"/><Relationship Id="rId80" Type="http://schemas.openxmlformats.org/officeDocument/2006/relationships/hyperlink" Target="https://doi.org/10.1002/2017GL074778" TargetMode="External"/><Relationship Id="rId85" Type="http://schemas.openxmlformats.org/officeDocument/2006/relationships/hyperlink" Target="https://media.defense.gov/2021/Jan/05/2002560338/-1/-1/0/ARCTIC%20BLUEPRINT%202021%20FINAL.PDF/ARCTIC%20BLUEPRINT%202021%20FINAL.PDF" TargetMode="Externa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hyperlink" Target="https://doi.org/10.1175/MWR-D-11-00182.1" TargetMode="External"/><Relationship Id="rId38" Type="http://schemas.openxmlformats.org/officeDocument/2006/relationships/hyperlink" Target="https://doi.org/10.1175/1520-0493(1993)121%3c2309:TIEOCI%3e2.0.CO;2" TargetMode="External"/><Relationship Id="rId59" Type="http://schemas.openxmlformats.org/officeDocument/2006/relationships/hyperlink" Target="https://doi.org/10.1002/qj.3628" TargetMode="External"/><Relationship Id="rId103" Type="http://schemas.openxmlformats.org/officeDocument/2006/relationships/header" Target="header2.xml"/><Relationship Id="rId20" Type="http://schemas.openxmlformats.org/officeDocument/2006/relationships/image" Target="media/image13.png"/><Relationship Id="rId41" Type="http://schemas.openxmlformats.org/officeDocument/2006/relationships/hyperlink" Target="https://doi.org/10.5065/D6CR5RD9" TargetMode="External"/><Relationship Id="rId54" Type="http://schemas.openxmlformats.org/officeDocument/2006/relationships/hyperlink" Target="https://doi.org/10.1002/qj.2437" TargetMode="External"/><Relationship Id="rId62" Type="http://schemas.openxmlformats.org/officeDocument/2006/relationships/hyperlink" Target="https://doi.org/10.1088/1748-9326/AA7A60" TargetMode="External"/><Relationship Id="rId70" Type="http://schemas.openxmlformats.org/officeDocument/2006/relationships/hyperlink" Target="https://www.ecmwf.int/en/about/media-centre/science-blog/2018/improving-prediction-and-climate-monitoring-polar-regions" TargetMode="External"/><Relationship Id="rId75" Type="http://schemas.openxmlformats.org/officeDocument/2006/relationships/hyperlink" Target="https://doi.org/10.3402/tellusa.v66.25252" TargetMode="External"/><Relationship Id="rId83" Type="http://schemas.openxmlformats.org/officeDocument/2006/relationships/hyperlink" Target="https://doi.org/10.1175/1520-0493(1973)101%3c0573:TROCCI%3e2.3.CO;2" TargetMode="External"/><Relationship Id="rId88" Type="http://schemas.openxmlformats.org/officeDocument/2006/relationships/hyperlink" Target="https://doi.org/10.1002/asl.1038" TargetMode="External"/><Relationship Id="rId91" Type="http://schemas.openxmlformats.org/officeDocument/2006/relationships/hyperlink" Target="https://doi.org/10.1029/2018GL077278" TargetMode="External"/><Relationship Id="rId96" Type="http://schemas.openxmlformats.org/officeDocument/2006/relationships/hyperlink" Target="https://doi.org/10.1002/grl.5019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doi.org/10.1029/2011JC007221" TargetMode="External"/><Relationship Id="rId28" Type="http://schemas.openxmlformats.org/officeDocument/2006/relationships/hyperlink" Target="https://doi.org/10.1002/qj.2173" TargetMode="External"/><Relationship Id="rId36" Type="http://schemas.openxmlformats.org/officeDocument/2006/relationships/hyperlink" Target="https://doi.org/10.1175/MWR-D-20-0417.1" TargetMode="External"/><Relationship Id="rId49" Type="http://schemas.openxmlformats.org/officeDocument/2006/relationships/hyperlink" Target="https://doi.org/10.1175/1520-0469(1990)047%3c1854:OTEOST%3e2.0.CO;2" TargetMode="External"/><Relationship Id="rId57" Type="http://schemas.openxmlformats.org/officeDocument/2006/relationships/hyperlink" Target="https://doi.org/10.1175/1520-0493(1988)116%3c2081:NSOAED%3e2.0.CO;2" TargetMode="External"/><Relationship Id="rId106"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hyperlink" Target="https://doi.org/10.1175/2008MWR2670.1" TargetMode="External"/><Relationship Id="rId44" Type="http://schemas.openxmlformats.org/officeDocument/2006/relationships/hyperlink" Target="https://doi.org/10.1002/qj.3353" TargetMode="External"/><Relationship Id="rId52" Type="http://schemas.openxmlformats.org/officeDocument/2006/relationships/hyperlink" Target="https://doi.org/10.1175/MWR-D-20-0285.1" TargetMode="External"/><Relationship Id="rId60" Type="http://schemas.openxmlformats.org/officeDocument/2006/relationships/hyperlink" Target="https://doi.org/10.1002/qj.2645" TargetMode="External"/><Relationship Id="rId65" Type="http://schemas.openxmlformats.org/officeDocument/2006/relationships/hyperlink" Target="https://doi.org/10.1029/2021GL092714" TargetMode="External"/><Relationship Id="rId73" Type="http://schemas.openxmlformats.org/officeDocument/2006/relationships/hyperlink" Target="https://doi.org/10.1175/2007JCLI1810.1" TargetMode="External"/><Relationship Id="rId78" Type="http://schemas.openxmlformats.org/officeDocument/2006/relationships/hyperlink" Target="https://doi.org/10.1088/1748-9326/aade56" TargetMode="External"/><Relationship Id="rId81" Type="http://schemas.openxmlformats.org/officeDocument/2006/relationships/hyperlink" Target="https://doi.org/10.1002/2014GL059983" TargetMode="External"/><Relationship Id="rId86" Type="http://schemas.openxmlformats.org/officeDocument/2006/relationships/hyperlink" Target="https://doi.org/10.1029/2020JD034366" TargetMode="External"/><Relationship Id="rId94" Type="http://schemas.openxmlformats.org/officeDocument/2006/relationships/hyperlink" Target="https://doi.org/10.1175/1520-0469(2003)060%3c1173:EOMCOM%3e2.0.CO;2" TargetMode="External"/><Relationship Id="rId99" Type="http://schemas.openxmlformats.org/officeDocument/2006/relationships/hyperlink" Target="https://doi.org/10.1175/JAS3688.1" TargetMode="Externa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doi.org/10.1002/qj.828" TargetMode="External"/><Relationship Id="rId34" Type="http://schemas.openxmlformats.org/officeDocument/2006/relationships/hyperlink" Target="https://doi.org/10.1175/JCLI-D-14-00447.1" TargetMode="External"/><Relationship Id="rId50" Type="http://schemas.openxmlformats.org/officeDocument/2006/relationships/hyperlink" Target="https://doi.org/10.1002/qj.49711147002" TargetMode="External"/><Relationship Id="rId55" Type="http://schemas.openxmlformats.org/officeDocument/2006/relationships/hyperlink" Target="https://doi.org/10.1002/rog.1991.29.s1.104" TargetMode="External"/><Relationship Id="rId76" Type="http://schemas.openxmlformats.org/officeDocument/2006/relationships/hyperlink" Target="https://doi.org/10.1029/2019GL085580" TargetMode="External"/><Relationship Id="rId97" Type="http://schemas.openxmlformats.org/officeDocument/2006/relationships/hyperlink" Target="https://doi.org/10.1175/1520-0442(2004)017%3c2300:CAIVOA%3e2.0.CO;2" TargetMode="External"/><Relationship Id="rId104"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yperlink" Target="https://doi.org/10.1175/MWR-D-14-00140.1" TargetMode="External"/><Relationship Id="rId92" Type="http://schemas.openxmlformats.org/officeDocument/2006/relationships/hyperlink" Target="https://doi.org/10.1016/j.polar.2019.02.003" TargetMode="External"/><Relationship Id="rId2" Type="http://schemas.openxmlformats.org/officeDocument/2006/relationships/numbering" Target="numbering.xml"/><Relationship Id="rId29" Type="http://schemas.openxmlformats.org/officeDocument/2006/relationships/hyperlink" Target="https://doi.org/10.3390/ijgi1010032" TargetMode="External"/><Relationship Id="rId24" Type="http://schemas.openxmlformats.org/officeDocument/2006/relationships/hyperlink" Target="https://doi.org/10.1002/qj.2449" TargetMode="External"/><Relationship Id="rId40" Type="http://schemas.openxmlformats.org/officeDocument/2006/relationships/hyperlink" Target="https://doi.org/10.1038/srep30682" TargetMode="External"/><Relationship Id="rId45" Type="http://schemas.openxmlformats.org/officeDocument/2006/relationships/hyperlink" Target="https://doi.org/10.1080/15022250.2010.521686" TargetMode="External"/><Relationship Id="rId66" Type="http://schemas.openxmlformats.org/officeDocument/2006/relationships/hyperlink" Target="https://doi.org/10.1175/1520-0434(1988)003%3c0217:TROLHR%3e2.0.CO;2" TargetMode="External"/><Relationship Id="rId87" Type="http://schemas.openxmlformats.org/officeDocument/2006/relationships/hyperlink" Target="https://doi.org/10.1256/003590002321042036" TargetMode="External"/><Relationship Id="rId61" Type="http://schemas.openxmlformats.org/officeDocument/2006/relationships/hyperlink" Target="https://doi.org/10.1002/2016GL069315" TargetMode="External"/><Relationship Id="rId82" Type="http://schemas.openxmlformats.org/officeDocument/2006/relationships/hyperlink" Target="https://doi.org/10.1175/MWR-D-14-00006.1"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s://doi.org/10.1175/MWR-D-20-0350.1" TargetMode="External"/><Relationship Id="rId35" Type="http://schemas.openxmlformats.org/officeDocument/2006/relationships/hyperlink" Target="https://doi.org/10.1175/JCLI-D-15-0755.1" TargetMode="External"/><Relationship Id="rId56" Type="http://schemas.openxmlformats.org/officeDocument/2006/relationships/hyperlink" Target="https://doi.org/10.1175/WAF-D-17-0036.1" TargetMode="External"/><Relationship Id="rId77" Type="http://schemas.openxmlformats.org/officeDocument/2006/relationships/hyperlink" Target="https://doi.org/10.1175/1520-0493(1996)124%3c0849:APVBSO%3e2.0.CO;2" TargetMode="External"/><Relationship Id="rId100" Type="http://schemas.openxmlformats.org/officeDocument/2006/relationships/header" Target="header1.xml"/><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doi.org/10.1016/j.polar.2020.100523" TargetMode="External"/><Relationship Id="rId72" Type="http://schemas.openxmlformats.org/officeDocument/2006/relationships/hyperlink" Target="https://doi.org/10.1080/07055900.1995.9649522" TargetMode="External"/><Relationship Id="rId93" Type="http://schemas.openxmlformats.org/officeDocument/2006/relationships/hyperlink" Target="https://doi.org/10.1002/2014JD022925" TargetMode="External"/><Relationship Id="rId98" Type="http://schemas.openxmlformats.org/officeDocument/2006/relationships/hyperlink" Target="https://doi.org/10.1175/WAF-D-12-00132.1" TargetMode="External"/><Relationship Id="rId3" Type="http://schemas.openxmlformats.org/officeDocument/2006/relationships/styles" Target="styles.xml"/><Relationship Id="rId25" Type="http://schemas.openxmlformats.org/officeDocument/2006/relationships/hyperlink" Target="https://www.proquest.com/openview/50a9a3a684cacaf144ed6578d7f93ebe" TargetMode="External"/><Relationship Id="rId46" Type="http://schemas.openxmlformats.org/officeDocument/2006/relationships/hyperlink" Target="https://doi.org/10.1175/MWR-D-13-00199.1" TargetMode="External"/><Relationship Id="rId67" Type="http://schemas.openxmlformats.org/officeDocument/2006/relationships/hyperlink" Target="https://doi.org/10.1175/1520-0493(1992)120%3c0893:AMASOT%3e2.0.CO;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A24B34-CCDE-AF46-81E3-1F1F264FAA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48</Pages>
  <Words>13683</Words>
  <Characters>77999</Characters>
  <Application>Microsoft Office Word</Application>
  <DocSecurity>0</DocSecurity>
  <Lines>649</Lines>
  <Paragraphs>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91500</CharactersWithSpaces>
  <SharedDoc>false</SharedDoc>
  <HLinks>
    <vt:vector size="90" baseType="variant">
      <vt:variant>
        <vt:i4>3080253</vt:i4>
      </vt:variant>
      <vt:variant>
        <vt:i4>48</vt:i4>
      </vt:variant>
      <vt:variant>
        <vt:i4>0</vt:i4>
      </vt:variant>
      <vt:variant>
        <vt:i4>5</vt:i4>
      </vt:variant>
      <vt:variant>
        <vt:lpwstr>https://doi.org/10.1007/s00382-019-04835-9</vt:lpwstr>
      </vt:variant>
      <vt:variant>
        <vt:lpwstr/>
      </vt:variant>
      <vt:variant>
        <vt:i4>8126517</vt:i4>
      </vt:variant>
      <vt:variant>
        <vt:i4>45</vt:i4>
      </vt:variant>
      <vt:variant>
        <vt:i4>0</vt:i4>
      </vt:variant>
      <vt:variant>
        <vt:i4>5</vt:i4>
      </vt:variant>
      <vt:variant>
        <vt:lpwstr>https://doi.org/10.1002/qj.3263</vt:lpwstr>
      </vt:variant>
      <vt:variant>
        <vt:lpwstr/>
      </vt:variant>
      <vt:variant>
        <vt:i4>655384</vt:i4>
      </vt:variant>
      <vt:variant>
        <vt:i4>42</vt:i4>
      </vt:variant>
      <vt:variant>
        <vt:i4>0</vt:i4>
      </vt:variant>
      <vt:variant>
        <vt:i4>5</vt:i4>
      </vt:variant>
      <vt:variant>
        <vt:lpwstr>https://doi.org/10.1007/s00382-010-0956-2</vt:lpwstr>
      </vt:variant>
      <vt:variant>
        <vt:lpwstr/>
      </vt:variant>
      <vt:variant>
        <vt:i4>3342463</vt:i4>
      </vt:variant>
      <vt:variant>
        <vt:i4>39</vt:i4>
      </vt:variant>
      <vt:variant>
        <vt:i4>0</vt:i4>
      </vt:variant>
      <vt:variant>
        <vt:i4>5</vt:i4>
      </vt:variant>
      <vt:variant>
        <vt:lpwstr>https://doi.org/10.1175/1520-0477(1997)078%3C2771:TDOENO%3E2.0.CO;2</vt:lpwstr>
      </vt:variant>
      <vt:variant>
        <vt:lpwstr/>
      </vt:variant>
      <vt:variant>
        <vt:i4>3735658</vt:i4>
      </vt:variant>
      <vt:variant>
        <vt:i4>36</vt:i4>
      </vt:variant>
      <vt:variant>
        <vt:i4>0</vt:i4>
      </vt:variant>
      <vt:variant>
        <vt:i4>5</vt:i4>
      </vt:variant>
      <vt:variant>
        <vt:lpwstr>https://doi.org/10.1175/1520-0493(1987)115%3C1606:GARSPP%3E2.0.CO;2</vt:lpwstr>
      </vt:variant>
      <vt:variant>
        <vt:lpwstr/>
      </vt:variant>
      <vt:variant>
        <vt:i4>2621546</vt:i4>
      </vt:variant>
      <vt:variant>
        <vt:i4>33</vt:i4>
      </vt:variant>
      <vt:variant>
        <vt:i4>0</vt:i4>
      </vt:variant>
      <vt:variant>
        <vt:i4>5</vt:i4>
      </vt:variant>
      <vt:variant>
        <vt:lpwstr>https://doi.org/10.1175/1520-0442(2000)013%3C3915:EARATT%3E2.0.CO;2</vt:lpwstr>
      </vt:variant>
      <vt:variant>
        <vt:lpwstr/>
      </vt:variant>
      <vt:variant>
        <vt:i4>2621561</vt:i4>
      </vt:variant>
      <vt:variant>
        <vt:i4>30</vt:i4>
      </vt:variant>
      <vt:variant>
        <vt:i4>0</vt:i4>
      </vt:variant>
      <vt:variant>
        <vt:i4>5</vt:i4>
      </vt:variant>
      <vt:variant>
        <vt:lpwstr>https://doi.org/10.1175/1520-0493(1989)117%3C0572:SSACCI%3E2.0.CO;2</vt:lpwstr>
      </vt:variant>
      <vt:variant>
        <vt:lpwstr/>
      </vt:variant>
      <vt:variant>
        <vt:i4>4784216</vt:i4>
      </vt:variant>
      <vt:variant>
        <vt:i4>27</vt:i4>
      </vt:variant>
      <vt:variant>
        <vt:i4>0</vt:i4>
      </vt:variant>
      <vt:variant>
        <vt:i4>5</vt:i4>
      </vt:variant>
      <vt:variant>
        <vt:lpwstr>https://doi.org/10.1175/JCLI-D-13-00714.1</vt:lpwstr>
      </vt:variant>
      <vt:variant>
        <vt:lpwstr/>
      </vt:variant>
      <vt:variant>
        <vt:i4>3080251</vt:i4>
      </vt:variant>
      <vt:variant>
        <vt:i4>24</vt:i4>
      </vt:variant>
      <vt:variant>
        <vt:i4>0</vt:i4>
      </vt:variant>
      <vt:variant>
        <vt:i4>5</vt:i4>
      </vt:variant>
      <vt:variant>
        <vt:lpwstr>https://doi.org/10.1023/A:1020785826029</vt:lpwstr>
      </vt:variant>
      <vt:variant>
        <vt:lpwstr/>
      </vt:variant>
      <vt:variant>
        <vt:i4>5832775</vt:i4>
      </vt:variant>
      <vt:variant>
        <vt:i4>21</vt:i4>
      </vt:variant>
      <vt:variant>
        <vt:i4>0</vt:i4>
      </vt:variant>
      <vt:variant>
        <vt:i4>5</vt:i4>
      </vt:variant>
      <vt:variant>
        <vt:lpwstr>https://doi.org/10.1175/JAMC-D-16-0365.1</vt:lpwstr>
      </vt:variant>
      <vt:variant>
        <vt:lpwstr/>
      </vt:variant>
      <vt:variant>
        <vt:i4>1245212</vt:i4>
      </vt:variant>
      <vt:variant>
        <vt:i4>18</vt:i4>
      </vt:variant>
      <vt:variant>
        <vt:i4>0</vt:i4>
      </vt:variant>
      <vt:variant>
        <vt:i4>5</vt:i4>
      </vt:variant>
      <vt:variant>
        <vt:lpwstr>https://cgspace.cgiar.org/bitstream/handle/10568/3840/climateVariability.pdf</vt:lpwstr>
      </vt:variant>
      <vt:variant>
        <vt:lpwstr/>
      </vt:variant>
      <vt:variant>
        <vt:i4>2490468</vt:i4>
      </vt:variant>
      <vt:variant>
        <vt:i4>15</vt:i4>
      </vt:variant>
      <vt:variant>
        <vt:i4>0</vt:i4>
      </vt:variant>
      <vt:variant>
        <vt:i4>5</vt:i4>
      </vt:variant>
      <vt:variant>
        <vt:lpwstr>https://doi.org/10.1175/1520-0493(2003)131%3C0074:AOSOTR%3E2.0.CO;2</vt:lpwstr>
      </vt:variant>
      <vt:variant>
        <vt:lpwstr/>
      </vt:variant>
      <vt:variant>
        <vt:i4>2818160</vt:i4>
      </vt:variant>
      <vt:variant>
        <vt:i4>12</vt:i4>
      </vt:variant>
      <vt:variant>
        <vt:i4>0</vt:i4>
      </vt:variant>
      <vt:variant>
        <vt:i4>5</vt:i4>
      </vt:variant>
      <vt:variant>
        <vt:lpwstr>https://doi.org/10.1175/1525-7541(2003)004%3C1147:TVGPCP%3E2.0.CO;2</vt:lpwstr>
      </vt:variant>
      <vt:variant>
        <vt:lpwstr/>
      </vt:variant>
      <vt:variant>
        <vt:i4>917512</vt:i4>
      </vt:variant>
      <vt:variant>
        <vt:i4>9</vt:i4>
      </vt:variant>
      <vt:variant>
        <vt:i4>0</vt:i4>
      </vt:variant>
      <vt:variant>
        <vt:i4>5</vt:i4>
      </vt:variant>
      <vt:variant>
        <vt:lpwstr>https://www.jasmin.ac.uk/</vt:lpwstr>
      </vt:variant>
      <vt:variant>
        <vt:lpwstr/>
      </vt:variant>
      <vt:variant>
        <vt:i4>3997716</vt:i4>
      </vt:variant>
      <vt:variant>
        <vt:i4>0</vt:i4>
      </vt:variant>
      <vt:variant>
        <vt:i4>0</vt:i4>
      </vt:variant>
      <vt:variant>
        <vt:i4>5</vt:i4>
      </vt:variant>
      <vt:variant>
        <vt:lpwstr>mailto:hannah.young@reading.ac.uk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docx2doc</dc:creator>
  <cp:keywords/>
  <dc:description/>
  <cp:lastModifiedBy>Kevin Biernat</cp:lastModifiedBy>
  <cp:revision>3</cp:revision>
  <dcterms:created xsi:type="dcterms:W3CDTF">2023-04-30T21:56:00Z</dcterms:created>
  <dcterms:modified xsi:type="dcterms:W3CDTF">2023-04-30T23:25:00Z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x_a">
    <vt:bool>false</vt:bool>
  </property>
  <property fmtid="{D5CDD505-2E9C-101B-9397-08002B2CF9AE}" pid="4" name="x_p">
    <vt:bool>false</vt:bool>
  </property>
  <property fmtid="{D5CDD505-2E9C-101B-9397-08002B2CF9AE}" pid="5" name="x_t">
    <vt:bool>true</vt:bool>
  </property>
</Properties>
</file>