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64CF9" w14:textId="33C36394" w:rsidR="00D90B97" w:rsidRPr="00F019AD" w:rsidRDefault="008C0970" w:rsidP="008C0970">
      <w:pPr>
        <w:jc w:val="center"/>
      </w:pPr>
      <w:r w:rsidRPr="008C0970">
        <w:rPr>
          <w:b/>
          <w:kern w:val="28"/>
          <w:sz w:val="28"/>
        </w:rPr>
        <w:t>Features and Processes Influencing the Evolution and Forecast Skill of Strong Low-skill Arctic Cyclones</w:t>
      </w:r>
    </w:p>
    <w:p w14:paraId="4610FDFB" w14:textId="2E93700A" w:rsidR="00D90B97" w:rsidRPr="008274AB" w:rsidRDefault="008F7809" w:rsidP="006E19A6">
      <w:pPr>
        <w:pStyle w:val="Authors"/>
        <w:spacing w:before="120" w:after="120"/>
      </w:pPr>
      <w:r>
        <w:t xml:space="preserve">Kevin A. </w:t>
      </w:r>
      <w:proofErr w:type="spellStart"/>
      <w:proofErr w:type="gramStart"/>
      <w:r>
        <w:t>Biernat</w:t>
      </w:r>
      <w:r w:rsidR="008274AB" w:rsidRPr="008274AB">
        <w:t>,</w:t>
      </w:r>
      <w:r w:rsidR="008274AB" w:rsidRPr="008274AB">
        <w:rPr>
          <w:vertAlign w:val="superscript"/>
        </w:rPr>
        <w:t>a</w:t>
      </w:r>
      <w:proofErr w:type="spellEnd"/>
      <w:proofErr w:type="gramEnd"/>
      <w:r w:rsidR="00D90B97" w:rsidRPr="008274AB">
        <w:t xml:space="preserve"> </w:t>
      </w:r>
      <w:r w:rsidR="008C0970">
        <w:t xml:space="preserve">Lance F. </w:t>
      </w:r>
      <w:proofErr w:type="spellStart"/>
      <w:r w:rsidR="008C0970">
        <w:t>Bosart</w:t>
      </w:r>
      <w:r w:rsidR="008274AB" w:rsidRPr="008274AB">
        <w:t>,</w:t>
      </w:r>
      <w:r w:rsidR="00882981">
        <w:rPr>
          <w:vertAlign w:val="superscript"/>
        </w:rPr>
        <w:t>a</w:t>
      </w:r>
      <w:proofErr w:type="spellEnd"/>
      <w:r w:rsidR="00D90B97" w:rsidRPr="008274AB">
        <w:t xml:space="preserve"> </w:t>
      </w:r>
      <w:r>
        <w:t xml:space="preserve">and </w:t>
      </w:r>
      <w:r w:rsidR="008C0970">
        <w:t xml:space="preserve">Daniel </w:t>
      </w:r>
      <w:proofErr w:type="spellStart"/>
      <w:r w:rsidR="008C0970">
        <w:t>Keyser</w:t>
      </w:r>
      <w:r w:rsidR="00882981">
        <w:rPr>
          <w:vertAlign w:val="superscript"/>
        </w:rPr>
        <w:t>a</w:t>
      </w:r>
      <w:proofErr w:type="spellEnd"/>
    </w:p>
    <w:p w14:paraId="18885F70" w14:textId="7A7AA093" w:rsidR="008F7809" w:rsidRDefault="00882981" w:rsidP="006E19A6">
      <w:pPr>
        <w:pStyle w:val="Affiliations"/>
        <w:spacing w:after="120"/>
      </w:pPr>
      <w:r>
        <w:rPr>
          <w:i w:val="0"/>
          <w:iCs/>
          <w:vertAlign w:val="superscript"/>
        </w:rPr>
        <w:t>a</w:t>
      </w:r>
      <w:r w:rsidR="008274AB" w:rsidRPr="008274AB">
        <w:rPr>
          <w:i w:val="0"/>
          <w:iCs/>
        </w:rPr>
        <w:t xml:space="preserve"> </w:t>
      </w:r>
      <w:r w:rsidR="008F7809" w:rsidRPr="008F7809">
        <w:t>Department of Atmospheric and Environmental Sciences, University at Albany, State University of New York, Albany, New York</w:t>
      </w:r>
    </w:p>
    <w:p w14:paraId="18431088" w14:textId="77777777" w:rsidR="00D90B97" w:rsidRPr="00F019AD" w:rsidRDefault="00D90B97" w:rsidP="006E19A6"/>
    <w:p w14:paraId="636DA657" w14:textId="65634AB6" w:rsidR="00D90B97" w:rsidRPr="00F019AD" w:rsidRDefault="00D90B97" w:rsidP="006E19A6">
      <w:pPr>
        <w:pStyle w:val="ParagraphText"/>
      </w:pPr>
      <w:r w:rsidRPr="009421D8">
        <w:rPr>
          <w:i/>
          <w:iCs/>
        </w:rPr>
        <w:t>Corresponding author</w:t>
      </w:r>
      <w:r w:rsidRPr="00F019AD">
        <w:t xml:space="preserve">: </w:t>
      </w:r>
      <w:r w:rsidR="008F7809">
        <w:t xml:space="preserve">Kevin A. </w:t>
      </w:r>
      <w:proofErr w:type="spellStart"/>
      <w:r w:rsidR="008F7809">
        <w:t>Biernat</w:t>
      </w:r>
      <w:proofErr w:type="spellEnd"/>
      <w:r w:rsidR="008274AB">
        <w:t xml:space="preserve">, </w:t>
      </w:r>
      <w:r w:rsidR="009308E6">
        <w:t>kevin.</w:t>
      </w:r>
      <w:r w:rsidR="00882981">
        <w:t>a.biernat@gmail.com</w:t>
      </w:r>
    </w:p>
    <w:p w14:paraId="2E96DDA4" w14:textId="3F95C135" w:rsidR="00531A0B" w:rsidRDefault="00531A0B" w:rsidP="006E19A6">
      <w:r>
        <w:br w:type="page"/>
      </w:r>
    </w:p>
    <w:p w14:paraId="6CC1AD59" w14:textId="77777777" w:rsidR="00D90B97" w:rsidRPr="00AC7667" w:rsidRDefault="00D90B97" w:rsidP="006E19A6">
      <w:pPr>
        <w:pStyle w:val="ComponentName"/>
      </w:pPr>
      <w:r w:rsidRPr="00AC7667">
        <w:lastRenderedPageBreak/>
        <w:t>ABSTRACT</w:t>
      </w:r>
    </w:p>
    <w:p w14:paraId="0619EEE7" w14:textId="1E22BAE6" w:rsidR="00ED4271" w:rsidRPr="00ED4271" w:rsidRDefault="00C32940" w:rsidP="0098006E">
      <w:pPr>
        <w:pStyle w:val="ParagraphText"/>
        <w:rPr>
          <w:szCs w:val="24"/>
          <w:lang w:eastAsia="en-IN"/>
        </w:rPr>
      </w:pPr>
      <w:r>
        <w:t xml:space="preserve">Strong </w:t>
      </w:r>
      <w:r w:rsidR="000E01FB">
        <w:t>A</w:t>
      </w:r>
      <w:r w:rsidR="00C60E16">
        <w:t>rctic cyclones (ACs)</w:t>
      </w:r>
      <w:r w:rsidR="000E01FB">
        <w:t xml:space="preserve"> </w:t>
      </w:r>
      <w:r>
        <w:t xml:space="preserve">characterized by low forecast skill of intensity, hereafter referred to as strong low-skill ACs, may </w:t>
      </w:r>
      <w:r w:rsidR="007321C8">
        <w:t xml:space="preserve">pose challenges to </w:t>
      </w:r>
      <w:r>
        <w:t>human activities in the Arctic.</w:t>
      </w:r>
      <w:r w:rsidRPr="00414FEF">
        <w:t xml:space="preserve"> </w:t>
      </w:r>
      <w:r w:rsidR="00B515DD">
        <w:t xml:space="preserve">The </w:t>
      </w:r>
      <w:r w:rsidR="00414FEF" w:rsidRPr="00414FEF">
        <w:t xml:space="preserve">purpose of this study is to </w:t>
      </w:r>
      <w:r w:rsidR="001F69AE">
        <w:t xml:space="preserve">increase </w:t>
      </w:r>
      <w:r w:rsidR="00963D15">
        <w:t xml:space="preserve">understanding of </w:t>
      </w:r>
      <w:r w:rsidR="00CB5A96">
        <w:t xml:space="preserve">features and </w:t>
      </w:r>
      <w:r w:rsidR="00963D15">
        <w:t xml:space="preserve">processes </w:t>
      </w:r>
      <w:r>
        <w:t>influencing</w:t>
      </w:r>
      <w:r w:rsidR="00414FEF" w:rsidRPr="00414FEF">
        <w:t xml:space="preserve"> </w:t>
      </w:r>
      <w:r w:rsidR="00963D15">
        <w:t>the</w:t>
      </w:r>
      <w:r>
        <w:t xml:space="preserve"> evolution and</w:t>
      </w:r>
      <w:r w:rsidR="00963D15">
        <w:t xml:space="preserve"> </w:t>
      </w:r>
      <w:r w:rsidR="00414FEF" w:rsidRPr="00414FEF">
        <w:t>forecast skill of the</w:t>
      </w:r>
      <w:r w:rsidR="00CB5A96">
        <w:t xml:space="preserve"> intensity of strong low-skill ACs</w:t>
      </w:r>
      <w:r w:rsidR="00414FEF" w:rsidRPr="00414FEF">
        <w:t>.</w:t>
      </w:r>
      <w:r w:rsidR="00B515DD">
        <w:t xml:space="preserve"> </w:t>
      </w:r>
      <w:r>
        <w:t>Features and processes influencing the evolution of strong low-skill ACs are examined by conducting</w:t>
      </w:r>
      <w:r w:rsidR="00CB5A96">
        <w:t xml:space="preserve"> AC-centered composites </w:t>
      </w:r>
      <w:r w:rsidR="004066B0">
        <w:t>for</w:t>
      </w:r>
      <w:r w:rsidR="00CB5A96">
        <w:t xml:space="preserve"> strong low-skill ACs</w:t>
      </w:r>
      <w:r>
        <w:t xml:space="preserve"> and by conducting a </w:t>
      </w:r>
      <w:r w:rsidR="00CB5A96">
        <w:t>synoptic-dynamic analysis of a selected strong low-skill AC that occurred during August 2016, hereafter referred to as AC16</w:t>
      </w:r>
      <w:r>
        <w:t xml:space="preserve">. Features and processes influencing the forecast skill of the intensity of strong low-skill ACs are examined by </w:t>
      </w:r>
      <w:r w:rsidR="00193150">
        <w:t>utilizing</w:t>
      </w:r>
      <w:r w:rsidR="00E1092A">
        <w:t xml:space="preserve"> </w:t>
      </w:r>
      <w:r>
        <w:t>the</w:t>
      </w:r>
      <w:r w:rsidR="00AF3F5B">
        <w:t xml:space="preserve"> ensemble-based sensitivity analysis</w:t>
      </w:r>
      <w:r w:rsidR="009A6EE8">
        <w:t xml:space="preserve"> (ESA)</w:t>
      </w:r>
      <w:r w:rsidR="00AF3F5B">
        <w:t xml:space="preserve"> technique</w:t>
      </w:r>
      <w:r>
        <w:t xml:space="preserve"> for AC16.</w:t>
      </w:r>
      <w:r w:rsidR="00AF3F5B">
        <w:t xml:space="preserve"> The composite analysis for the strong low-skill ACs and the synoptic-dynamic analysis of AC16 suggest that </w:t>
      </w:r>
      <w:r w:rsidR="000E01FB">
        <w:t>tropopause polar vortices (</w:t>
      </w:r>
      <w:r w:rsidR="00AF3F5B">
        <w:t>TPVs</w:t>
      </w:r>
      <w:r w:rsidR="000E01FB">
        <w:t>)</w:t>
      </w:r>
      <w:r w:rsidR="00AF3F5B">
        <w:t>,</w:t>
      </w:r>
      <w:r w:rsidR="00AF3F5B" w:rsidRPr="004C4D5E">
        <w:t xml:space="preserve"> TPV–AC interactions, baroclinic processes, and latent heating </w:t>
      </w:r>
      <w:r w:rsidR="00AF3F5B">
        <w:t>influence the evolution of</w:t>
      </w:r>
      <w:r w:rsidR="00AF3F5B" w:rsidRPr="004C4D5E">
        <w:t xml:space="preserve"> </w:t>
      </w:r>
      <w:r w:rsidR="000E01FB">
        <w:t xml:space="preserve">the </w:t>
      </w:r>
      <w:r w:rsidR="00AF3F5B">
        <w:t>strong low-skill ACs</w:t>
      </w:r>
      <w:r w:rsidR="00B515DD">
        <w:t xml:space="preserve"> and AC16</w:t>
      </w:r>
      <w:r w:rsidR="00AF3F5B">
        <w:t xml:space="preserve">. The ESA </w:t>
      </w:r>
      <w:r w:rsidR="002E2B5D">
        <w:t>of</w:t>
      </w:r>
      <w:r w:rsidR="00AF3F5B">
        <w:t xml:space="preserve"> AC16 suggests that the</w:t>
      </w:r>
      <w:r w:rsidR="00AF3F5B">
        <w:rPr>
          <w:szCs w:val="24"/>
          <w:lang w:eastAsia="en-IN"/>
        </w:rPr>
        <w:t xml:space="preserve"> </w:t>
      </w:r>
      <w:r w:rsidR="00AF3F5B">
        <w:t>forecast skill of the intensity of</w:t>
      </w:r>
      <w:r w:rsidR="00AF3F5B" w:rsidRPr="00C544E9">
        <w:t xml:space="preserve"> AC16 is sensitive to the</w:t>
      </w:r>
      <w:r w:rsidR="00AF3F5B">
        <w:t xml:space="preserve"> </w:t>
      </w:r>
      <w:r w:rsidR="00AF3F5B" w:rsidRPr="00C544E9">
        <w:t>amplitude of an upper-tropospheric trough, and the strength of an embedded</w:t>
      </w:r>
      <w:r w:rsidR="00AF3F5B">
        <w:t xml:space="preserve"> </w:t>
      </w:r>
      <w:r w:rsidR="00AF3F5B" w:rsidRPr="00C544E9">
        <w:t>TPV, upstream of AC16</w:t>
      </w:r>
      <w:r w:rsidR="00AF3F5B">
        <w:t>,</w:t>
      </w:r>
      <w:r w:rsidR="00825CEE">
        <w:t xml:space="preserve"> </w:t>
      </w:r>
      <w:r w:rsidR="00AF3F5B">
        <w:t>the amplitude of an upper-tropospheric ridge downstream of AC16</w:t>
      </w:r>
      <w:r w:rsidR="006E48FB">
        <w:t>, the</w:t>
      </w:r>
      <w:r w:rsidR="00825CEE">
        <w:t xml:space="preserve"> amplitude of a</w:t>
      </w:r>
      <w:r w:rsidR="00825CEE">
        <w:t xml:space="preserve"> 1000–500-hPa</w:t>
      </w:r>
      <w:r w:rsidR="00825CEE">
        <w:t xml:space="preserve"> thickness trough</w:t>
      </w:r>
      <w:r w:rsidR="00825CEE">
        <w:t xml:space="preserve"> and</w:t>
      </w:r>
      <w:r w:rsidR="000267C4">
        <w:t xml:space="preserve"> of a</w:t>
      </w:r>
      <w:r w:rsidR="006E48FB">
        <w:t xml:space="preserve"> </w:t>
      </w:r>
      <w:r w:rsidR="006E48FB">
        <w:t xml:space="preserve">1000–500-hPa thickness </w:t>
      </w:r>
      <w:r w:rsidR="00825CEE">
        <w:t xml:space="preserve">ridge </w:t>
      </w:r>
      <w:r w:rsidR="00825CEE">
        <w:t>in the vicinity of</w:t>
      </w:r>
      <w:r w:rsidR="00825CEE">
        <w:t xml:space="preserve"> AC16, and the position of a region of latent heating associated with AC16.</w:t>
      </w:r>
    </w:p>
    <w:p w14:paraId="3E1F732E" w14:textId="77777777" w:rsidR="001D226F" w:rsidRDefault="001D226F" w:rsidP="00AE7EB7">
      <w:pPr>
        <w:pStyle w:val="ParagraphText"/>
      </w:pPr>
    </w:p>
    <w:p w14:paraId="030652B1" w14:textId="77777777" w:rsidR="00907DE9" w:rsidRDefault="00907DE9" w:rsidP="00AE7EB7">
      <w:pPr>
        <w:pStyle w:val="ParagraphText"/>
      </w:pPr>
    </w:p>
    <w:p w14:paraId="7DC9191C" w14:textId="77777777" w:rsidR="00907DE9" w:rsidRDefault="00907DE9" w:rsidP="00AE7EB7">
      <w:pPr>
        <w:pStyle w:val="ParagraphText"/>
      </w:pPr>
    </w:p>
    <w:p w14:paraId="1D4C749C" w14:textId="77777777" w:rsidR="00907DE9" w:rsidRDefault="00907DE9" w:rsidP="00AE7EB7">
      <w:pPr>
        <w:pStyle w:val="ParagraphText"/>
      </w:pPr>
    </w:p>
    <w:p w14:paraId="6EAF5CFC" w14:textId="77777777" w:rsidR="00907DE9" w:rsidRDefault="00907DE9" w:rsidP="00AE7EB7">
      <w:pPr>
        <w:pStyle w:val="ParagraphText"/>
      </w:pPr>
    </w:p>
    <w:p w14:paraId="28E55C29" w14:textId="77777777" w:rsidR="00907DE9" w:rsidRDefault="00907DE9" w:rsidP="00AE7EB7">
      <w:pPr>
        <w:pStyle w:val="ParagraphText"/>
      </w:pPr>
    </w:p>
    <w:p w14:paraId="5AB11B15" w14:textId="77777777" w:rsidR="00907DE9" w:rsidRDefault="00907DE9" w:rsidP="00AE7EB7">
      <w:pPr>
        <w:pStyle w:val="ParagraphText"/>
      </w:pPr>
    </w:p>
    <w:p w14:paraId="085CD37E" w14:textId="77777777" w:rsidR="00907DE9" w:rsidRDefault="00907DE9" w:rsidP="00AE7EB7">
      <w:pPr>
        <w:pStyle w:val="ParagraphText"/>
      </w:pPr>
    </w:p>
    <w:p w14:paraId="3E19A45B" w14:textId="77777777" w:rsidR="00907DE9" w:rsidRDefault="00907DE9" w:rsidP="003009F5">
      <w:pPr>
        <w:pStyle w:val="ParagraphText"/>
        <w:ind w:firstLine="0"/>
      </w:pPr>
    </w:p>
    <w:p w14:paraId="56E1CA3B" w14:textId="77777777" w:rsidR="0016557E" w:rsidRDefault="0016557E" w:rsidP="003009F5">
      <w:pPr>
        <w:pStyle w:val="ParagraphText"/>
        <w:ind w:firstLine="0"/>
      </w:pPr>
    </w:p>
    <w:p w14:paraId="1ED2EB8E" w14:textId="77777777" w:rsidR="007321C8" w:rsidRDefault="007321C8" w:rsidP="003009F5">
      <w:pPr>
        <w:pStyle w:val="ParagraphText"/>
        <w:ind w:firstLine="0"/>
      </w:pPr>
    </w:p>
    <w:p w14:paraId="7EFF5732" w14:textId="0DC8CFF9" w:rsidR="00D90B97" w:rsidRPr="003E64F4" w:rsidRDefault="00B36F8E" w:rsidP="00B36F8E">
      <w:pPr>
        <w:pStyle w:val="H1"/>
        <w:rPr>
          <w:szCs w:val="24"/>
        </w:rPr>
      </w:pPr>
      <w:r w:rsidRPr="003E64F4">
        <w:rPr>
          <w:szCs w:val="24"/>
        </w:rPr>
        <w:lastRenderedPageBreak/>
        <w:t>1. Introduction</w:t>
      </w:r>
    </w:p>
    <w:p w14:paraId="5FFBDCE3" w14:textId="1A8BB00E" w:rsidR="00E30DDB" w:rsidRPr="0016557E" w:rsidRDefault="00011BD9" w:rsidP="0016557E">
      <w:pPr>
        <w:pStyle w:val="ParagraphText"/>
        <w:rPr>
          <w:szCs w:val="24"/>
        </w:rPr>
      </w:pPr>
      <w:r>
        <w:rPr>
          <w:szCs w:val="24"/>
        </w:rPr>
        <w:t xml:space="preserve">As defined in </w:t>
      </w:r>
      <w:proofErr w:type="spellStart"/>
      <w:r>
        <w:rPr>
          <w:szCs w:val="24"/>
        </w:rPr>
        <w:t>Biernat</w:t>
      </w:r>
      <w:proofErr w:type="spellEnd"/>
      <w:r>
        <w:rPr>
          <w:szCs w:val="24"/>
        </w:rPr>
        <w:t xml:space="preserve"> et al. (2023, section 1), </w:t>
      </w:r>
      <w:r w:rsidR="00D41ED9">
        <w:rPr>
          <w:szCs w:val="24"/>
        </w:rPr>
        <w:t>ACs are extratropical cyclones that originate within the Arctic or move into the Arctic from lower latitudes (e.g., Serreze 1995; Zhang et al. 2004; Serreze and Barret 2008; Crawford and Serreze 2016)</w:t>
      </w:r>
      <w:r w:rsidR="0016557E">
        <w:rPr>
          <w:szCs w:val="24"/>
        </w:rPr>
        <w:t xml:space="preserve">. ACs can </w:t>
      </w:r>
      <w:r w:rsidR="00193150">
        <w:rPr>
          <w:szCs w:val="24"/>
        </w:rPr>
        <w:t xml:space="preserve">be </w:t>
      </w:r>
      <w:r w:rsidR="00D41ED9">
        <w:rPr>
          <w:szCs w:val="24"/>
        </w:rPr>
        <w:t>associated with strong surface winds and high waves (e.g., Zhang et al. 2013; Thomson and Roger 2014)</w:t>
      </w:r>
      <w:r w:rsidR="00E30DDB">
        <w:rPr>
          <w:szCs w:val="24"/>
        </w:rPr>
        <w:t>, which</w:t>
      </w:r>
      <w:r w:rsidR="00D41ED9">
        <w:rPr>
          <w:szCs w:val="24"/>
        </w:rPr>
        <w:t xml:space="preserve"> may pose hazards to human activities in the Arctic</w:t>
      </w:r>
      <w:r w:rsidR="00E30DDB">
        <w:rPr>
          <w:szCs w:val="24"/>
        </w:rPr>
        <w:t xml:space="preserve">, such as shipping (e.g., </w:t>
      </w:r>
      <w:proofErr w:type="spellStart"/>
      <w:r w:rsidR="00E30DDB" w:rsidRPr="00F52648">
        <w:rPr>
          <w:szCs w:val="24"/>
        </w:rPr>
        <w:t>Eguíluz</w:t>
      </w:r>
      <w:proofErr w:type="spellEnd"/>
      <w:r w:rsidR="00E30DDB" w:rsidRPr="00F52648">
        <w:rPr>
          <w:szCs w:val="24"/>
        </w:rPr>
        <w:t xml:space="preserve"> et al. 2016</w:t>
      </w:r>
      <w:r w:rsidR="00E30DDB">
        <w:rPr>
          <w:szCs w:val="24"/>
        </w:rPr>
        <w:t xml:space="preserve">) and tourism (e.g., </w:t>
      </w:r>
      <w:r w:rsidR="00E30DDB" w:rsidRPr="00F52648">
        <w:rPr>
          <w:szCs w:val="24"/>
        </w:rPr>
        <w:t>Hall and Saarinen 2010</w:t>
      </w:r>
      <w:r w:rsidR="00E30DDB">
        <w:rPr>
          <w:szCs w:val="24"/>
        </w:rPr>
        <w:t>).</w:t>
      </w:r>
      <w:r w:rsidR="0016557E">
        <w:rPr>
          <w:szCs w:val="24"/>
        </w:rPr>
        <w:t xml:space="preserve"> </w:t>
      </w:r>
      <w:r w:rsidR="00E30DDB">
        <w:t xml:space="preserve">There has been recent increased interest in examining </w:t>
      </w:r>
      <w:r w:rsidR="00E30DDB" w:rsidRPr="00D54346">
        <w:t xml:space="preserve">features and processes </w:t>
      </w:r>
      <w:r w:rsidR="00E30DDB">
        <w:t xml:space="preserve">that </w:t>
      </w:r>
      <w:r w:rsidR="00E30DDB" w:rsidRPr="00D54346">
        <w:t>influenc</w:t>
      </w:r>
      <w:r w:rsidR="00E30DDB">
        <w:t>e</w:t>
      </w:r>
      <w:r w:rsidR="00E30DDB" w:rsidRPr="00D54346">
        <w:t xml:space="preserve"> the evolution of ACs from a case study perspective (e.g., Simmonds and </w:t>
      </w:r>
      <w:proofErr w:type="spellStart"/>
      <w:r w:rsidR="00E30DDB" w:rsidRPr="00D54346">
        <w:t>Rudeva</w:t>
      </w:r>
      <w:proofErr w:type="spellEnd"/>
      <w:r w:rsidR="00E30DDB" w:rsidRPr="00D54346">
        <w:t xml:space="preserve"> 2012; Tao et al. 2017</w:t>
      </w:r>
      <w:proofErr w:type="gramStart"/>
      <w:r w:rsidR="00E30DDB" w:rsidRPr="00D54346">
        <w:t>a,b</w:t>
      </w:r>
      <w:proofErr w:type="gramEnd"/>
      <w:r w:rsidR="00E30DDB" w:rsidRPr="00D54346">
        <w:t xml:space="preserve">; </w:t>
      </w:r>
      <w:r w:rsidR="009A6EE8">
        <w:t xml:space="preserve">Ban et al. 2023; </w:t>
      </w:r>
      <w:r w:rsidR="00E30DDB">
        <w:t>Qian et al. 2023</w:t>
      </w:r>
      <w:r w:rsidR="00E30DDB" w:rsidRPr="00D54346">
        <w:t>)</w:t>
      </w:r>
      <w:r w:rsidR="00E30DDB">
        <w:t xml:space="preserve"> and from a composite perspective (e.g., Clancy et al. 2022; </w:t>
      </w:r>
      <w:proofErr w:type="spellStart"/>
      <w:r w:rsidR="00E30DDB">
        <w:t>Vessey</w:t>
      </w:r>
      <w:proofErr w:type="spellEnd"/>
      <w:r w:rsidR="00E30DDB">
        <w:t xml:space="preserve"> et al. 2022</w:t>
      </w:r>
      <w:r w:rsidR="006F35E4">
        <w:t>; Yang et al. 2024</w:t>
      </w:r>
      <w:r w:rsidR="00E30DDB">
        <w:t>).</w:t>
      </w:r>
      <w:r w:rsidR="00E30DDB" w:rsidRPr="00E30DDB">
        <w:t xml:space="preserve"> </w:t>
      </w:r>
      <w:r w:rsidR="00E30DDB">
        <w:t>T</w:t>
      </w:r>
      <w:r w:rsidR="00FE28C2">
        <w:t>PVs</w:t>
      </w:r>
      <w:r w:rsidR="00E30DDB">
        <w:t xml:space="preserve">, which are coherent tropopause-based cyclonic </w:t>
      </w:r>
      <w:r w:rsidR="00C60E16">
        <w:t>vortices</w:t>
      </w:r>
      <w:r w:rsidR="00E30DDB" w:rsidRPr="00FB3D71">
        <w:t xml:space="preserve"> (e.g., Cavallo and Hakim 2010</w:t>
      </w:r>
      <w:r w:rsidR="00E30DDB">
        <w:t xml:space="preserve">), have been shown to influence the evolution of ACs (e.g., </w:t>
      </w:r>
      <w:r w:rsidR="00E258F6">
        <w:t xml:space="preserve">Simmonds and </w:t>
      </w:r>
      <w:proofErr w:type="spellStart"/>
      <w:r w:rsidR="00E258F6">
        <w:t>Rudeva</w:t>
      </w:r>
      <w:proofErr w:type="spellEnd"/>
      <w:r w:rsidR="00E258F6">
        <w:t xml:space="preserve"> 2012</w:t>
      </w:r>
      <w:r w:rsidR="00E258F6" w:rsidRPr="007A63F9">
        <w:t>; Tao et al. 2017</w:t>
      </w:r>
      <w:proofErr w:type="gramStart"/>
      <w:r w:rsidR="00E258F6" w:rsidRPr="007A63F9">
        <w:t>a,b</w:t>
      </w:r>
      <w:proofErr w:type="gramEnd"/>
      <w:r w:rsidR="00E258F6">
        <w:t xml:space="preserve">; Yamagami et al. 2017; </w:t>
      </w:r>
      <w:r w:rsidR="006F35E4">
        <w:t xml:space="preserve">Gray et al. 2021; </w:t>
      </w:r>
      <w:r w:rsidR="00E258F6">
        <w:t>Ban et al. 2023</w:t>
      </w:r>
      <w:r>
        <w:t>; Qian et al. 2023</w:t>
      </w:r>
      <w:r w:rsidR="00E30DDB" w:rsidRPr="00FB3D71">
        <w:t>)</w:t>
      </w:r>
      <w:r w:rsidR="00E30DDB">
        <w:t>. B</w:t>
      </w:r>
      <w:r w:rsidR="00E30DDB" w:rsidRPr="00FB3D71">
        <w:t>aroclinic processes have</w:t>
      </w:r>
      <w:r w:rsidR="00E30DDB">
        <w:t xml:space="preserve"> also</w:t>
      </w:r>
      <w:r w:rsidR="00E30DDB" w:rsidRPr="00FB3D71">
        <w:t xml:space="preserve"> been shown to influence the evolution of ACs</w:t>
      </w:r>
      <w:r w:rsidR="00193150">
        <w:t xml:space="preserve"> </w:t>
      </w:r>
      <w:r w:rsidR="00193150" w:rsidRPr="00FB3D71">
        <w:t xml:space="preserve">(e.g., </w:t>
      </w:r>
      <w:r w:rsidR="00F32F9E">
        <w:t xml:space="preserve">Aizawa et al. 2014; </w:t>
      </w:r>
      <w:r w:rsidR="00193150" w:rsidRPr="00FB3D71">
        <w:t>Tao et al. 2017</w:t>
      </w:r>
      <w:proofErr w:type="gramStart"/>
      <w:r w:rsidR="00193150" w:rsidRPr="00FB3D71">
        <w:t>a,b</w:t>
      </w:r>
      <w:proofErr w:type="gramEnd"/>
      <w:r w:rsidR="00193150" w:rsidRPr="00FB3D71">
        <w:t>; Yamagami et al. 2017</w:t>
      </w:r>
      <w:r w:rsidR="00193150">
        <w:t xml:space="preserve">; Ban et al. 2023; </w:t>
      </w:r>
      <w:proofErr w:type="spellStart"/>
      <w:r w:rsidR="00193150">
        <w:t>Croad</w:t>
      </w:r>
      <w:proofErr w:type="spellEnd"/>
      <w:r w:rsidR="00193150">
        <w:t xml:space="preserve"> et al. 2023; Qian et al. 2023</w:t>
      </w:r>
      <w:r w:rsidR="00193150" w:rsidRPr="00FB3D71">
        <w:t>)</w:t>
      </w:r>
      <w:r w:rsidR="00E30DDB" w:rsidRPr="00FB3D71">
        <w:t>.</w:t>
      </w:r>
      <w:r w:rsidR="00E30DDB">
        <w:t xml:space="preserve"> </w:t>
      </w:r>
      <w:r w:rsidR="0016557E">
        <w:t xml:space="preserve">In addition, </w:t>
      </w:r>
      <w:r w:rsidR="00E30DDB">
        <w:t xml:space="preserve">ACs </w:t>
      </w:r>
      <w:r w:rsidR="00E30DDB" w:rsidRPr="007A63F9">
        <w:t>can be associated with intrusions of warm, moist air into the Arctic (e.g., Fearon et al. 2021</w:t>
      </w:r>
      <w:r w:rsidR="00E30DDB">
        <w:t>), which may influence the evolution of ACs through latent heating.</w:t>
      </w:r>
      <w:r w:rsidR="00E30DDB" w:rsidRPr="00E30DDB">
        <w:t xml:space="preserve"> </w:t>
      </w:r>
      <w:r w:rsidR="00E30DDB">
        <w:t>A strong AC that occurred during August 2016, hereafter referred to as AC16, is a notable example of an AC for which TPVs, baroclinic processes, and latent heating have been shown to influence the evolution of ACs (Yamagami et al. 2017; Ban et al. 2023; Qian et al. 2023).</w:t>
      </w:r>
    </w:p>
    <w:p w14:paraId="12FBDF57" w14:textId="025D49DB" w:rsidR="00CF79B4" w:rsidRDefault="00E30DDB" w:rsidP="00CF79B4">
      <w:pPr>
        <w:pStyle w:val="ParagraphText"/>
        <w:rPr>
          <w:i/>
        </w:rPr>
      </w:pPr>
      <w:r>
        <w:t>F</w:t>
      </w:r>
      <w:r w:rsidRPr="00D54346">
        <w:t xml:space="preserve">orecast errors related to upper-tropospheric features (e.g., Langland et al. 2002; </w:t>
      </w:r>
      <w:r w:rsidR="00514DBA" w:rsidRPr="007A63F9">
        <w:t>Chang et al. 2013</w:t>
      </w:r>
      <w:r w:rsidR="00514DBA">
        <w:t xml:space="preserve">; </w:t>
      </w:r>
      <w:r w:rsidRPr="00D54346">
        <w:t>Lamberson et al. 2016), baroclinic processes (e.g., Sanders 1986; Zhu and Thorpe 2006</w:t>
      </w:r>
      <w:r w:rsidR="00514DBA">
        <w:t xml:space="preserve">; </w:t>
      </w:r>
      <w:r w:rsidR="00514DBA" w:rsidRPr="007A63F9">
        <w:t>Zheng et al. 2013</w:t>
      </w:r>
      <w:r w:rsidRPr="00D54346">
        <w:t>)</w:t>
      </w:r>
      <w:r>
        <w:t>,</w:t>
      </w:r>
      <w:r w:rsidRPr="00D54346">
        <w:t xml:space="preserve"> and latent heating (e.g., Zhang et al. 2003, 2007) have been shown to contribute</w:t>
      </w:r>
      <w:r>
        <w:t xml:space="preserve"> to</w:t>
      </w:r>
      <w:r w:rsidRPr="00D54346">
        <w:t xml:space="preserve"> forecast errors in </w:t>
      </w:r>
      <w:r>
        <w:t>midlatitude</w:t>
      </w:r>
      <w:r w:rsidRPr="00D54346">
        <w:t xml:space="preserve"> cyclones.</w:t>
      </w:r>
      <w:r>
        <w:t xml:space="preserve"> A</w:t>
      </w:r>
      <w:r w:rsidRPr="00D54346">
        <w:t xml:space="preserve">lthough </w:t>
      </w:r>
      <w:r>
        <w:t xml:space="preserve">there </w:t>
      </w:r>
      <w:r w:rsidRPr="00D54346">
        <w:t>have been numerous studies that have examined features and processes influencing the forecast skill of midlatitude cyclones</w:t>
      </w:r>
      <w:r>
        <w:t>,</w:t>
      </w:r>
      <w:r w:rsidRPr="00D54346">
        <w:t xml:space="preserve"> there have been </w:t>
      </w:r>
      <w:r>
        <w:t xml:space="preserve">relatively few studies that </w:t>
      </w:r>
      <w:r w:rsidRPr="00D54346">
        <w:t>have examined features and processes influencing the forecast skill of</w:t>
      </w:r>
      <w:r w:rsidR="00F86625">
        <w:t xml:space="preserve"> the intensity and position</w:t>
      </w:r>
      <w:r w:rsidRPr="00D54346">
        <w:t xml:space="preserve"> ACs</w:t>
      </w:r>
      <w:r>
        <w:t xml:space="preserve"> (e.g., </w:t>
      </w:r>
      <w:r w:rsidRPr="002B1177">
        <w:t xml:space="preserve">Tao et al. 2017b; Yamagami et al. 2018; </w:t>
      </w:r>
      <w:proofErr w:type="spellStart"/>
      <w:r w:rsidRPr="002B1177">
        <w:t>Capute</w:t>
      </w:r>
      <w:proofErr w:type="spellEnd"/>
      <w:r w:rsidRPr="002B1177">
        <w:t xml:space="preserve"> and Torn 2021; Johnson and Wang 2021</w:t>
      </w:r>
      <w:r>
        <w:t>)</w:t>
      </w:r>
      <w:r w:rsidRPr="00D54346">
        <w:t>.</w:t>
      </w:r>
      <w:r>
        <w:t xml:space="preserve"> </w:t>
      </w:r>
      <w:r w:rsidR="00183374">
        <w:t>Forecast</w:t>
      </w:r>
      <w:r w:rsidR="003E0890">
        <w:t>s</w:t>
      </w:r>
      <w:r w:rsidR="00183374">
        <w:t xml:space="preserve"> of</w:t>
      </w:r>
      <w:r w:rsidRPr="00D54346">
        <w:t xml:space="preserve"> </w:t>
      </w:r>
      <w:r w:rsidR="00F86625">
        <w:t xml:space="preserve">the intensity and position of </w:t>
      </w:r>
      <w:r w:rsidRPr="00D54346">
        <w:t>ACs ha</w:t>
      </w:r>
      <w:r w:rsidR="003E0890">
        <w:t>ve</w:t>
      </w:r>
      <w:r w:rsidRPr="00D54346">
        <w:t xml:space="preserve"> been shown to be sensitive to</w:t>
      </w:r>
      <w:r w:rsidR="00183374">
        <w:t xml:space="preserve"> </w:t>
      </w:r>
      <w:r w:rsidR="0001226D">
        <w:t>the position and strength of</w:t>
      </w:r>
      <w:r w:rsidR="00183374">
        <w:t xml:space="preserve"> </w:t>
      </w:r>
      <w:r w:rsidRPr="00D54346">
        <w:t>TPVs</w:t>
      </w:r>
      <w:r w:rsidR="00183374">
        <w:t xml:space="preserve"> and other upper-tropospheric features</w:t>
      </w:r>
      <w:r w:rsidRPr="00D54346">
        <w:t xml:space="preserve"> (e.g., Yamazaki et al. 2015; Yamagami et al. 2018; Johnson and Wang 2021</w:t>
      </w:r>
      <w:r w:rsidR="00183374">
        <w:t>; Ban et al. 2023</w:t>
      </w:r>
      <w:r w:rsidRPr="00D54346">
        <w:t xml:space="preserve">) and the strength of tropospheric baroclinicity </w:t>
      </w:r>
      <w:r w:rsidRPr="00D54346">
        <w:lastRenderedPageBreak/>
        <w:t>(e.g., Tao et al. 2017b).</w:t>
      </w:r>
      <w:r>
        <w:t xml:space="preserve"> </w:t>
      </w:r>
      <w:r w:rsidR="00CF79B4">
        <w:t>Observing</w:t>
      </w:r>
      <w:r w:rsidR="00CF79B4" w:rsidRPr="00E36AE2">
        <w:t xml:space="preserve"> system experiments by </w:t>
      </w:r>
      <w:bookmarkStart w:id="0" w:name="_Hlk83398022"/>
      <w:r w:rsidR="00CF79B4" w:rsidRPr="00E36AE2">
        <w:t>Yamazaki et al. (</w:t>
      </w:r>
      <w:r w:rsidR="00CF79B4">
        <w:t>2015)</w:t>
      </w:r>
      <w:bookmarkEnd w:id="0"/>
      <w:r w:rsidR="00CF79B4">
        <w:t xml:space="preserve"> and Johnson and Wang (2021</w:t>
      </w:r>
      <w:r w:rsidR="00CF79B4" w:rsidRPr="00E36AE2">
        <w:t xml:space="preserve">) show that the denial of </w:t>
      </w:r>
      <w:r w:rsidR="00CF79B4">
        <w:t xml:space="preserve">radiosonde observations </w:t>
      </w:r>
      <w:r w:rsidR="00CF79B4" w:rsidRPr="00E36AE2">
        <w:t xml:space="preserve">located in the vicinity </w:t>
      </w:r>
      <w:r w:rsidR="00CF79B4">
        <w:t xml:space="preserve">of TPVs linked to the development of </w:t>
      </w:r>
      <w:r w:rsidR="0016557E">
        <w:t xml:space="preserve">a strong AC that occurred during August 2012, hereafter referred to as AC12, </w:t>
      </w:r>
      <w:r w:rsidR="00CF79B4">
        <w:t xml:space="preserve">and an AC </w:t>
      </w:r>
      <w:r w:rsidR="0016557E">
        <w:t xml:space="preserve">that occurred </w:t>
      </w:r>
      <w:r w:rsidR="00CF79B4">
        <w:t>during July 2018, respectively,</w:t>
      </w:r>
      <w:r w:rsidR="00CF79B4" w:rsidRPr="00E36AE2">
        <w:t xml:space="preserve"> degrade the forecast</w:t>
      </w:r>
      <w:r w:rsidR="00CF79B4">
        <w:t>s</w:t>
      </w:r>
      <w:r w:rsidR="00CF79B4" w:rsidRPr="00E36AE2">
        <w:t xml:space="preserve"> of the AC</w:t>
      </w:r>
      <w:r w:rsidR="00CF79B4">
        <w:t>s</w:t>
      </w:r>
      <w:r w:rsidR="00CF79B4" w:rsidRPr="00E36AE2">
        <w:t>.</w:t>
      </w:r>
      <w:r w:rsidR="00CF79B4" w:rsidRPr="00E36AE2">
        <w:rPr>
          <w:i/>
        </w:rPr>
        <w:t xml:space="preserve"> </w:t>
      </w:r>
    </w:p>
    <w:p w14:paraId="7A0FC789" w14:textId="5A438A78" w:rsidR="00E30DDB" w:rsidRDefault="00E30DDB" w:rsidP="00CF79B4">
      <w:pPr>
        <w:pStyle w:val="ParagraphText"/>
      </w:pPr>
      <w:r>
        <w:t xml:space="preserve">The </w:t>
      </w:r>
      <w:r w:rsidR="009A6EE8">
        <w:t>ESA</w:t>
      </w:r>
      <w:r w:rsidRPr="00D54346">
        <w:t xml:space="preserve"> technique (e.g., Torn and Hakim 2008) is </w:t>
      </w:r>
      <w:r>
        <w:t xml:space="preserve">a </w:t>
      </w:r>
      <w:r w:rsidRPr="00D54346">
        <w:t xml:space="preserve">useful </w:t>
      </w:r>
      <w:r>
        <w:t>method</w:t>
      </w:r>
      <w:r w:rsidRPr="00D54346">
        <w:t xml:space="preserve"> to help determine features and processes that may influence the forecast skill of</w:t>
      </w:r>
      <w:r w:rsidR="00AF33E2">
        <w:t xml:space="preserve"> cyclone</w:t>
      </w:r>
      <w:r w:rsidR="00221561">
        <w:t>s</w:t>
      </w:r>
      <w:r w:rsidR="00AF33E2">
        <w:t xml:space="preserve">. </w:t>
      </w:r>
      <w:r w:rsidR="00CF79B4">
        <w:t>The ESA technique</w:t>
      </w:r>
      <w:r w:rsidR="00AF33E2">
        <w:t xml:space="preserve"> can be used to determine the sensitivity of a forecast metric of interest (e.g., cyclone intensity) at a given forecast</w:t>
      </w:r>
      <w:r w:rsidR="003E0890">
        <w:t xml:space="preserve"> lead</w:t>
      </w:r>
      <w:r w:rsidR="00AF33E2">
        <w:t xml:space="preserve"> time to selected dynamic and thermodynamic </w:t>
      </w:r>
      <w:r w:rsidR="003E0890">
        <w:t>quantities</w:t>
      </w:r>
      <w:r w:rsidR="00AF33E2">
        <w:t xml:space="preserve"> (e.g., lower-tropospheric temperature) at earlier forecast </w:t>
      </w:r>
      <w:r w:rsidR="003E0890">
        <w:t xml:space="preserve">lead </w:t>
      </w:r>
      <w:r w:rsidR="00AF33E2">
        <w:t xml:space="preserve">times (e.g., Torn and Hakim 2008). The ESA technique has been applied to </w:t>
      </w:r>
      <w:r w:rsidR="00C961F2">
        <w:t>midlatitude</w:t>
      </w:r>
      <w:r w:rsidR="00AF33E2">
        <w:t xml:space="preserve"> </w:t>
      </w:r>
      <w:r w:rsidR="00C961F2">
        <w:t>cyclones</w:t>
      </w:r>
      <w:r w:rsidR="00AF33E2">
        <w:t xml:space="preserve"> (e.g., Chang et al. 2013; Zheng et al. 2013) and </w:t>
      </w:r>
      <w:r w:rsidR="0016557E">
        <w:t xml:space="preserve">to </w:t>
      </w:r>
      <w:r w:rsidR="00221561">
        <w:t>ACs</w:t>
      </w:r>
      <w:r w:rsidR="00AF33E2">
        <w:t xml:space="preserve"> (e.g.,</w:t>
      </w:r>
      <w:r>
        <w:t xml:space="preserve"> </w:t>
      </w:r>
      <w:r w:rsidR="00CF79B4" w:rsidRPr="00800386">
        <w:t>J</w:t>
      </w:r>
      <w:r w:rsidR="00CF79B4">
        <w:t>ohnson and Wang</w:t>
      </w:r>
      <w:r w:rsidR="00653F60">
        <w:t xml:space="preserve"> </w:t>
      </w:r>
      <w:r w:rsidR="00CF79B4">
        <w:t>2021)</w:t>
      </w:r>
      <w:r w:rsidR="00653F60">
        <w:t xml:space="preserve">. Johnson and Wang (2021) </w:t>
      </w:r>
      <w:r w:rsidR="00CF79B4">
        <w:t>conduct</w:t>
      </w:r>
      <w:r w:rsidR="00C60E16">
        <w:t>ed</w:t>
      </w:r>
      <w:r w:rsidR="00CF79B4" w:rsidRPr="00800386">
        <w:t xml:space="preserve"> an </w:t>
      </w:r>
      <w:r w:rsidR="00653F60">
        <w:t>ESA</w:t>
      </w:r>
      <w:r w:rsidR="00CF79B4" w:rsidRPr="00800386">
        <w:t xml:space="preserve"> </w:t>
      </w:r>
      <w:r w:rsidR="00E1092A">
        <w:t>of</w:t>
      </w:r>
      <w:r w:rsidR="00CF79B4" w:rsidRPr="00800386">
        <w:t xml:space="preserve"> </w:t>
      </w:r>
      <w:r w:rsidR="00C961F2">
        <w:t>the</w:t>
      </w:r>
      <w:r w:rsidR="00CF79B4">
        <w:t xml:space="preserve"> AC </w:t>
      </w:r>
      <w:r w:rsidR="0016557E">
        <w:t>that occurred during</w:t>
      </w:r>
      <w:r w:rsidR="00CF79B4">
        <w:t xml:space="preserve"> July 2018 and </w:t>
      </w:r>
      <w:r w:rsidR="00CF79B4" w:rsidRPr="007A63F9">
        <w:t xml:space="preserve">find that track and intensity errors </w:t>
      </w:r>
      <w:r w:rsidR="00CF79B4">
        <w:t xml:space="preserve">of the AC </w:t>
      </w:r>
      <w:r w:rsidR="00CF79B4" w:rsidRPr="007A63F9">
        <w:t xml:space="preserve">are sensitive to the structure of a large-scale Rossby wave, the </w:t>
      </w:r>
      <w:r w:rsidR="0001226D">
        <w:t>strength</w:t>
      </w:r>
      <w:r w:rsidR="00CF79B4" w:rsidRPr="007A63F9">
        <w:t xml:space="preserve"> of TPVs, and the structure of the lower-tropospheric thermal field.</w:t>
      </w:r>
    </w:p>
    <w:p w14:paraId="7534D6D1" w14:textId="1BC148BB" w:rsidR="00F044DD" w:rsidRDefault="00F044DD" w:rsidP="000657F8">
      <w:pPr>
        <w:pStyle w:val="ParagraphText"/>
      </w:pPr>
      <w:proofErr w:type="spellStart"/>
      <w:r w:rsidRPr="00F044DD">
        <w:t>Biernat</w:t>
      </w:r>
      <w:proofErr w:type="spellEnd"/>
      <w:r w:rsidRPr="00F044DD">
        <w:t xml:space="preserve"> et al. (2023) identified ACs characterized by low forecast skill of intensity</w:t>
      </w:r>
      <w:r w:rsidR="004A66EC">
        <w:t xml:space="preserve"> </w:t>
      </w:r>
      <w:r w:rsidRPr="00F044DD">
        <w:t>during periods of low forecast skill of the synoptic-scale flow over that Arctic</w:t>
      </w:r>
      <w:r w:rsidR="004E692E" w:rsidRPr="004E692E">
        <w:t xml:space="preserve"> </w:t>
      </w:r>
      <w:r w:rsidR="004E692E">
        <w:t>during the summers (June–August) of 2007–2017</w:t>
      </w:r>
      <w:r>
        <w:t>. They</w:t>
      </w:r>
      <w:r w:rsidRPr="00F044DD">
        <w:t xml:space="preserve"> referred to these ACs as low-skill ACs during low-skill periods.</w:t>
      </w:r>
      <w:r w:rsidR="00AA1D2D">
        <w:t xml:space="preserve"> </w:t>
      </w:r>
      <w:r>
        <w:t xml:space="preserve">They </w:t>
      </w:r>
      <w:r w:rsidRPr="00D54346">
        <w:t>f</w:t>
      </w:r>
      <w:r>
        <w:t>ound</w:t>
      </w:r>
      <w:r w:rsidRPr="00D54346">
        <w:t xml:space="preserve"> that low-skill ACs during low-skill periods tend to be located in regions of relatively </w:t>
      </w:r>
      <w:r w:rsidR="00E1092A">
        <w:t>strong</w:t>
      </w:r>
      <w:r w:rsidRPr="00D54346">
        <w:t xml:space="preserve"> lower-tropospheric baroclinicity,</w:t>
      </w:r>
      <w:r w:rsidR="00E1092A">
        <w:t xml:space="preserve"> relatively large</w:t>
      </w:r>
      <w:r w:rsidRPr="00D54346">
        <w:t xml:space="preserve"> lower-to-</w:t>
      </w:r>
      <w:proofErr w:type="spellStart"/>
      <w:r w:rsidRPr="00D54346">
        <w:t>midtropospheric</w:t>
      </w:r>
      <w:proofErr w:type="spellEnd"/>
      <w:r w:rsidRPr="00D54346">
        <w:t xml:space="preserve"> </w:t>
      </w:r>
      <w:proofErr w:type="spellStart"/>
      <w:r w:rsidRPr="00D54346">
        <w:t>Eady</w:t>
      </w:r>
      <w:proofErr w:type="spellEnd"/>
      <w:r w:rsidRPr="00D54346">
        <w:t xml:space="preserve"> growth rate (EGR), and </w:t>
      </w:r>
      <w:r w:rsidR="00E1092A">
        <w:t xml:space="preserve">relatively large </w:t>
      </w:r>
      <w:r w:rsidRPr="00D54346">
        <w:t>latent heating.</w:t>
      </w:r>
      <w:r>
        <w:t xml:space="preserve"> T</w:t>
      </w:r>
      <w:r w:rsidRPr="00D54346">
        <w:t xml:space="preserve">he objective of the present study is to improve understanding of features and processes influencing the evolution and forecast skill of </w:t>
      </w:r>
      <w:r>
        <w:t xml:space="preserve">the intensity of </w:t>
      </w:r>
      <w:r w:rsidRPr="00D54346">
        <w:t>strong low-skill ACs during low-skill periods, hereafter referred to as strong low-skill ACs.</w:t>
      </w:r>
      <w:r>
        <w:t xml:space="preserve"> S</w:t>
      </w:r>
      <w:r w:rsidRPr="00D54346">
        <w:t>trong low-skill ACs are of interest because these ACs may p</w:t>
      </w:r>
      <w:r w:rsidR="007321C8">
        <w:t>ose</w:t>
      </w:r>
      <w:r w:rsidRPr="00D54346">
        <w:t xml:space="preserve"> challenges to human activities in the Arctic </w:t>
      </w:r>
      <w:r>
        <w:t xml:space="preserve">and these activities </w:t>
      </w:r>
      <w:r w:rsidRPr="00D54346">
        <w:t>may be</w:t>
      </w:r>
      <w:r w:rsidR="008C4A2C">
        <w:t xml:space="preserve"> adversely</w:t>
      </w:r>
      <w:r w:rsidRPr="00D54346">
        <w:t xml:space="preserve"> impacted by hazardous weather conditions associated with </w:t>
      </w:r>
      <w:r w:rsidR="00E1092A">
        <w:t>these ACs</w:t>
      </w:r>
      <w:r w:rsidRPr="00D54346">
        <w:t>.</w:t>
      </w:r>
      <w:r>
        <w:t xml:space="preserve"> To</w:t>
      </w:r>
      <w:r w:rsidRPr="00F044DD">
        <w:t xml:space="preserve"> </w:t>
      </w:r>
      <w:r w:rsidRPr="00D54346">
        <w:t xml:space="preserve">address the objective of the present study, AC-centered composites </w:t>
      </w:r>
      <w:r w:rsidR="00094EF8">
        <w:t>for the</w:t>
      </w:r>
      <w:r w:rsidRPr="00D54346">
        <w:t xml:space="preserve"> strong low-skill ACs are constructed, and a synoptic-dynamic analysis and</w:t>
      </w:r>
      <w:r w:rsidR="00E1092A">
        <w:t xml:space="preserve"> an</w:t>
      </w:r>
      <w:r w:rsidRPr="00D54346">
        <w:t xml:space="preserve"> ESA </w:t>
      </w:r>
      <w:r w:rsidR="008C4A2C">
        <w:t>of</w:t>
      </w:r>
      <w:r w:rsidRPr="00D54346">
        <w:t xml:space="preserve"> </w:t>
      </w:r>
      <w:r w:rsidR="008C4A2C">
        <w:t xml:space="preserve">AC16, which is a </w:t>
      </w:r>
      <w:r w:rsidR="00E1092A">
        <w:t>selected</w:t>
      </w:r>
      <w:r w:rsidR="008C4A2C">
        <w:t xml:space="preserve"> </w:t>
      </w:r>
      <w:r w:rsidRPr="00D54346">
        <w:t>strong low-skill AC</w:t>
      </w:r>
      <w:r w:rsidR="008C4A2C">
        <w:t>,</w:t>
      </w:r>
      <w:r w:rsidRPr="00D54346">
        <w:t xml:space="preserve"> are conducted.</w:t>
      </w:r>
      <w:r w:rsidRPr="00F044DD">
        <w:t xml:space="preserve"> </w:t>
      </w:r>
      <w:r>
        <w:t>The remainder of this paper is organized as follows. Section 2 presents the data and method</w:t>
      </w:r>
      <w:r w:rsidR="002A32D8">
        <w:t>s</w:t>
      </w:r>
      <w:r>
        <w:t xml:space="preserve"> used to construct the AC-center</w:t>
      </w:r>
      <w:r w:rsidR="008C4A2C">
        <w:t>ed</w:t>
      </w:r>
      <w:r>
        <w:t xml:space="preserve"> composites </w:t>
      </w:r>
      <w:r w:rsidR="00094EF8">
        <w:t>for</w:t>
      </w:r>
      <w:r>
        <w:t xml:space="preserve"> the strong low-skill ACs, and to conduct the synoptic-dynamic analysis and ESA of AC16. Section 3 presents the results of the AC-centered composites </w:t>
      </w:r>
      <w:r w:rsidR="00B06D4E">
        <w:t>for</w:t>
      </w:r>
      <w:r>
        <w:t xml:space="preserve"> the strong low-skill ACs, </w:t>
      </w:r>
      <w:r>
        <w:lastRenderedPageBreak/>
        <w:t>and the results of the synoptic-dynamic analysis and ESA of AC16. Section 4 summarizes the results of the paper.</w:t>
      </w:r>
    </w:p>
    <w:p w14:paraId="1F43D25E" w14:textId="77777777" w:rsidR="00C24929" w:rsidRDefault="00C24929" w:rsidP="006E19A6">
      <w:pPr>
        <w:pStyle w:val="H1"/>
        <w:rPr>
          <w:szCs w:val="24"/>
        </w:rPr>
      </w:pPr>
    </w:p>
    <w:p w14:paraId="7660FE59" w14:textId="71E2C91D" w:rsidR="00D90B97" w:rsidRPr="003E64F4" w:rsidRDefault="00B36F8E" w:rsidP="006E19A6">
      <w:pPr>
        <w:pStyle w:val="H1"/>
        <w:rPr>
          <w:szCs w:val="24"/>
        </w:rPr>
      </w:pPr>
      <w:r w:rsidRPr="003E64F4">
        <w:rPr>
          <w:szCs w:val="24"/>
        </w:rPr>
        <w:t xml:space="preserve">2. Data and </w:t>
      </w:r>
      <w:r w:rsidR="00940543">
        <w:rPr>
          <w:szCs w:val="24"/>
        </w:rPr>
        <w:t>m</w:t>
      </w:r>
      <w:r w:rsidRPr="003E64F4">
        <w:rPr>
          <w:szCs w:val="24"/>
        </w:rPr>
        <w:t>ethod</w:t>
      </w:r>
      <w:r w:rsidR="002A32D8">
        <w:rPr>
          <w:szCs w:val="24"/>
        </w:rPr>
        <w:t>s</w:t>
      </w:r>
    </w:p>
    <w:p w14:paraId="073F87F6" w14:textId="7EFE989A" w:rsidR="00B36F8E" w:rsidRPr="00B36F8E" w:rsidRDefault="00B36F8E" w:rsidP="00B36F8E">
      <w:pPr>
        <w:pStyle w:val="H2"/>
        <w:rPr>
          <w:szCs w:val="24"/>
        </w:rPr>
      </w:pPr>
      <w:r w:rsidRPr="00B36F8E">
        <w:rPr>
          <w:szCs w:val="24"/>
        </w:rPr>
        <w:t xml:space="preserve">a. </w:t>
      </w:r>
      <w:r w:rsidR="00671401">
        <w:rPr>
          <w:szCs w:val="24"/>
        </w:rPr>
        <w:t>AC-centered</w:t>
      </w:r>
      <w:r w:rsidR="00671401">
        <w:t xml:space="preserve"> composites </w:t>
      </w:r>
      <w:r w:rsidR="00094EF8">
        <w:t>for</w:t>
      </w:r>
      <w:r w:rsidR="00671401">
        <w:t xml:space="preserve"> strong low-skill ACs</w:t>
      </w:r>
    </w:p>
    <w:p w14:paraId="0E22B5AD" w14:textId="7CADF5BA" w:rsidR="006926AA" w:rsidRPr="00294105" w:rsidRDefault="00294105" w:rsidP="00913F4E">
      <w:pPr>
        <w:rPr>
          <w:szCs w:val="24"/>
        </w:rPr>
      </w:pPr>
      <w:r>
        <w:rPr>
          <w:szCs w:val="24"/>
        </w:rPr>
        <w:t>T</w:t>
      </w:r>
      <w:r w:rsidRPr="00294105">
        <w:rPr>
          <w:szCs w:val="24"/>
        </w:rPr>
        <w:t xml:space="preserve">he strong low-skill ACs defined in section 1 comprise the top 25% strongest low-skill ACs during low-skill periods from </w:t>
      </w:r>
      <w:proofErr w:type="spellStart"/>
      <w:r w:rsidRPr="00294105">
        <w:rPr>
          <w:szCs w:val="24"/>
        </w:rPr>
        <w:t>Biernat</w:t>
      </w:r>
      <w:proofErr w:type="spellEnd"/>
      <w:r w:rsidRPr="00294105">
        <w:rPr>
          <w:szCs w:val="24"/>
        </w:rPr>
        <w:t xml:space="preserve"> et al. (2023) based on the lowest sea level pressure (SLP) attained by these ACs when located within the Arctic (&gt; 70°N) during low-skill periods. The tracks of the strong low-skill ACs </w:t>
      </w:r>
      <w:r>
        <w:rPr>
          <w:szCs w:val="24"/>
        </w:rPr>
        <w:t xml:space="preserve">in </w:t>
      </w:r>
      <w:proofErr w:type="spellStart"/>
      <w:r>
        <w:rPr>
          <w:szCs w:val="24"/>
        </w:rPr>
        <w:t>Biernat</w:t>
      </w:r>
      <w:proofErr w:type="spellEnd"/>
      <w:r>
        <w:rPr>
          <w:szCs w:val="24"/>
        </w:rPr>
        <w:t xml:space="preserve"> et al. (2023) </w:t>
      </w:r>
      <w:r w:rsidR="00507A36">
        <w:rPr>
          <w:szCs w:val="24"/>
        </w:rPr>
        <w:t xml:space="preserve">were constructed using an </w:t>
      </w:r>
      <w:r w:rsidR="00507A36" w:rsidRPr="00507A36">
        <w:rPr>
          <w:szCs w:val="24"/>
        </w:rPr>
        <w:t>objective SLP-based cyclone tracking algorithm developed</w:t>
      </w:r>
      <w:r w:rsidR="00507A36">
        <w:rPr>
          <w:szCs w:val="24"/>
        </w:rPr>
        <w:t xml:space="preserve"> </w:t>
      </w:r>
      <w:r w:rsidR="00507A36" w:rsidRPr="00507A36">
        <w:rPr>
          <w:szCs w:val="24"/>
        </w:rPr>
        <w:t>by Crawford et al. (2021)</w:t>
      </w:r>
      <w:r w:rsidR="00465F3B">
        <w:rPr>
          <w:szCs w:val="24"/>
        </w:rPr>
        <w:t xml:space="preserve"> and</w:t>
      </w:r>
      <w:r w:rsidR="00C80386">
        <w:rPr>
          <w:szCs w:val="24"/>
        </w:rPr>
        <w:t xml:space="preserve"> using</w:t>
      </w:r>
      <w:r w:rsidR="00913F4E">
        <w:rPr>
          <w:szCs w:val="24"/>
        </w:rPr>
        <w:t xml:space="preserve"> </w:t>
      </w:r>
      <w:r w:rsidRPr="00294105">
        <w:rPr>
          <w:szCs w:val="24"/>
        </w:rPr>
        <w:t>6-h SLP data from the ERA-Interim</w:t>
      </w:r>
      <w:r w:rsidR="00094EF8">
        <w:rPr>
          <w:szCs w:val="24"/>
        </w:rPr>
        <w:t xml:space="preserve"> (Dee et al. 2011)</w:t>
      </w:r>
      <w:r w:rsidRPr="00294105">
        <w:rPr>
          <w:szCs w:val="24"/>
        </w:rPr>
        <w:t xml:space="preserve"> at 1° horizontal </w:t>
      </w:r>
      <w:r>
        <w:rPr>
          <w:szCs w:val="24"/>
        </w:rPr>
        <w:t>grid spacing</w:t>
      </w:r>
      <w:r w:rsidRPr="00294105">
        <w:rPr>
          <w:szCs w:val="24"/>
        </w:rPr>
        <w:t>.</w:t>
      </w:r>
      <w:r w:rsidR="00507A36">
        <w:rPr>
          <w:szCs w:val="24"/>
        </w:rPr>
        <w:t xml:space="preserve"> </w:t>
      </w:r>
      <w:r w:rsidRPr="00294105">
        <w:rPr>
          <w:szCs w:val="24"/>
        </w:rPr>
        <w:t xml:space="preserve">The strong low-skill ACs are now tracked using </w:t>
      </w:r>
      <w:r w:rsidR="00094EF8">
        <w:rPr>
          <w:szCs w:val="24"/>
        </w:rPr>
        <w:t xml:space="preserve">6-h SLP data from the </w:t>
      </w:r>
      <w:r w:rsidRPr="00294105">
        <w:rPr>
          <w:szCs w:val="24"/>
        </w:rPr>
        <w:t>ERA5 dataset (</w:t>
      </w:r>
      <w:proofErr w:type="spellStart"/>
      <w:r w:rsidRPr="00294105">
        <w:rPr>
          <w:szCs w:val="24"/>
        </w:rPr>
        <w:t>Hersbach</w:t>
      </w:r>
      <w:proofErr w:type="spellEnd"/>
      <w:r w:rsidRPr="00294105">
        <w:rPr>
          <w:szCs w:val="24"/>
        </w:rPr>
        <w:t xml:space="preserve"> et al. 2020</w:t>
      </w:r>
      <w:r w:rsidR="000D6331">
        <w:rPr>
          <w:szCs w:val="24"/>
        </w:rPr>
        <w:t>, 2023a</w:t>
      </w:r>
      <w:r w:rsidRPr="00294105">
        <w:rPr>
          <w:szCs w:val="24"/>
        </w:rPr>
        <w:t xml:space="preserve">) at 0.25° horizontal </w:t>
      </w:r>
      <w:r>
        <w:rPr>
          <w:szCs w:val="24"/>
        </w:rPr>
        <w:t xml:space="preserve">grid </w:t>
      </w:r>
      <w:r w:rsidR="00094EF8">
        <w:rPr>
          <w:szCs w:val="24"/>
        </w:rPr>
        <w:t>s</w:t>
      </w:r>
      <w:r>
        <w:rPr>
          <w:szCs w:val="24"/>
        </w:rPr>
        <w:t>pacing</w:t>
      </w:r>
      <w:r w:rsidRPr="00294105">
        <w:rPr>
          <w:szCs w:val="24"/>
        </w:rPr>
        <w:t xml:space="preserve">. To track each AC in ERA5, the location of minimum SLP within a 200-km radius of each track point of the corresponding ERA-Interim track is identified in ERA5. The resulting ERA5 track for each AC is then manually analyzed to ensure it properly follows the location of minimum SLP of the AC. </w:t>
      </w:r>
      <w:r w:rsidR="00AB7C75">
        <w:rPr>
          <w:szCs w:val="24"/>
        </w:rPr>
        <w:t>No changes to the ERA5 tracks were needed after conducting the manual analysis of the ERA5 tracks.</w:t>
      </w:r>
      <w:r w:rsidR="006926AA">
        <w:rPr>
          <w:szCs w:val="24"/>
        </w:rPr>
        <w:t xml:space="preserve"> </w:t>
      </w:r>
      <w:r w:rsidR="00AB7C75">
        <w:rPr>
          <w:szCs w:val="24"/>
        </w:rPr>
        <w:t xml:space="preserve">There is a total of 13 strong low-skill ACs. </w:t>
      </w:r>
      <w:r w:rsidR="00AB7C75" w:rsidRPr="00AB7C75">
        <w:rPr>
          <w:szCs w:val="24"/>
        </w:rPr>
        <w:t xml:space="preserve">Table </w:t>
      </w:r>
      <w:r w:rsidR="00AB7C75">
        <w:rPr>
          <w:szCs w:val="24"/>
        </w:rPr>
        <w:t>1</w:t>
      </w:r>
      <w:r w:rsidR="00AB7C75" w:rsidRPr="00AB7C75">
        <w:rPr>
          <w:szCs w:val="24"/>
        </w:rPr>
        <w:t xml:space="preserve"> shows that</w:t>
      </w:r>
      <w:r w:rsidR="00C80386">
        <w:rPr>
          <w:szCs w:val="24"/>
        </w:rPr>
        <w:t xml:space="preserve"> the lowest SLP attained within the Arctic for</w:t>
      </w:r>
      <w:r w:rsidR="00AB7C75" w:rsidRPr="00AB7C75">
        <w:rPr>
          <w:szCs w:val="24"/>
        </w:rPr>
        <w:t xml:space="preserve"> all 13 strong low-skill ACs </w:t>
      </w:r>
      <w:r w:rsidR="00C80386">
        <w:rPr>
          <w:szCs w:val="24"/>
        </w:rPr>
        <w:t>is in</w:t>
      </w:r>
      <w:r w:rsidR="00AB7C75" w:rsidRPr="00AB7C75">
        <w:rPr>
          <w:szCs w:val="24"/>
        </w:rPr>
        <w:t xml:space="preserve"> the range of 962–9</w:t>
      </w:r>
      <w:r w:rsidR="00AB7C75">
        <w:rPr>
          <w:szCs w:val="24"/>
        </w:rPr>
        <w:t>82</w:t>
      </w:r>
      <w:r w:rsidR="00AB7C75" w:rsidRPr="00AB7C75">
        <w:rPr>
          <w:szCs w:val="24"/>
        </w:rPr>
        <w:t xml:space="preserve"> </w:t>
      </w:r>
      <w:proofErr w:type="spellStart"/>
      <w:r w:rsidR="00AB7C75" w:rsidRPr="00AB7C75">
        <w:rPr>
          <w:szCs w:val="24"/>
        </w:rPr>
        <w:t>hPa</w:t>
      </w:r>
      <w:proofErr w:type="spellEnd"/>
      <w:r w:rsidR="00AB7C75" w:rsidRPr="00AB7C75">
        <w:rPr>
          <w:szCs w:val="24"/>
        </w:rPr>
        <w:t xml:space="preserve">. Two notable strong low-skill ACs are AC12, which occurred during </w:t>
      </w:r>
      <w:r w:rsidR="00AB7C75">
        <w:rPr>
          <w:szCs w:val="24"/>
        </w:rPr>
        <w:t>3</w:t>
      </w:r>
      <w:r w:rsidR="00AB7C75" w:rsidRPr="00AB7C75">
        <w:rPr>
          <w:szCs w:val="24"/>
        </w:rPr>
        <w:t>–1</w:t>
      </w:r>
      <w:r w:rsidR="00AB7C75">
        <w:rPr>
          <w:szCs w:val="24"/>
        </w:rPr>
        <w:t>0</w:t>
      </w:r>
      <w:r w:rsidR="00AB7C75" w:rsidRPr="00AB7C75">
        <w:rPr>
          <w:szCs w:val="24"/>
        </w:rPr>
        <w:t xml:space="preserve"> August 2012 and attained a lowest SLP</w:t>
      </w:r>
      <w:r w:rsidR="00C80386">
        <w:rPr>
          <w:szCs w:val="24"/>
        </w:rPr>
        <w:t xml:space="preserve"> of </w:t>
      </w:r>
      <w:r w:rsidR="00AB7C75" w:rsidRPr="00AB7C75">
        <w:rPr>
          <w:szCs w:val="24"/>
        </w:rPr>
        <w:t xml:space="preserve">962.5 </w:t>
      </w:r>
      <w:proofErr w:type="spellStart"/>
      <w:r w:rsidR="00AB7C75" w:rsidRPr="00AB7C75">
        <w:rPr>
          <w:szCs w:val="24"/>
        </w:rPr>
        <w:t>hPa</w:t>
      </w:r>
      <w:proofErr w:type="spellEnd"/>
      <w:r w:rsidR="00AB7C75" w:rsidRPr="00AB7C75">
        <w:rPr>
          <w:szCs w:val="24"/>
        </w:rPr>
        <w:t xml:space="preserve"> </w:t>
      </w:r>
      <w:r w:rsidR="00C80386">
        <w:rPr>
          <w:szCs w:val="24"/>
        </w:rPr>
        <w:t xml:space="preserve">within the Arctic </w:t>
      </w:r>
      <w:r w:rsidR="00AB7C75" w:rsidRPr="00AB7C75">
        <w:rPr>
          <w:szCs w:val="24"/>
        </w:rPr>
        <w:t xml:space="preserve">(Table </w:t>
      </w:r>
      <w:r w:rsidR="00AB7C75">
        <w:rPr>
          <w:szCs w:val="24"/>
        </w:rPr>
        <w:t>1</w:t>
      </w:r>
      <w:r w:rsidR="00AB7C75" w:rsidRPr="00AB7C75">
        <w:rPr>
          <w:szCs w:val="24"/>
        </w:rPr>
        <w:t>), and AC16, which occurred during 1</w:t>
      </w:r>
      <w:r w:rsidR="00AB7C75">
        <w:rPr>
          <w:szCs w:val="24"/>
        </w:rPr>
        <w:t>2</w:t>
      </w:r>
      <w:r w:rsidR="00AB7C75" w:rsidRPr="00AB7C75">
        <w:rPr>
          <w:szCs w:val="24"/>
        </w:rPr>
        <w:t>–</w:t>
      </w:r>
      <w:r w:rsidR="00AB7C75">
        <w:rPr>
          <w:szCs w:val="24"/>
        </w:rPr>
        <w:t>22</w:t>
      </w:r>
      <w:r w:rsidR="00AB7C75" w:rsidRPr="00AB7C75">
        <w:rPr>
          <w:szCs w:val="24"/>
        </w:rPr>
        <w:t xml:space="preserve"> August 2016 and attained a lowest SLP of 968.3 </w:t>
      </w:r>
      <w:proofErr w:type="spellStart"/>
      <w:r w:rsidR="00AB7C75" w:rsidRPr="00AB7C75">
        <w:rPr>
          <w:szCs w:val="24"/>
        </w:rPr>
        <w:t>hPa</w:t>
      </w:r>
      <w:proofErr w:type="spellEnd"/>
      <w:r w:rsidR="00AB7C75" w:rsidRPr="00AB7C75">
        <w:rPr>
          <w:szCs w:val="24"/>
        </w:rPr>
        <w:t xml:space="preserve"> </w:t>
      </w:r>
      <w:r w:rsidR="00913F4E">
        <w:rPr>
          <w:szCs w:val="24"/>
        </w:rPr>
        <w:t>within</w:t>
      </w:r>
      <w:r w:rsidR="00AB7C75" w:rsidRPr="00AB7C75">
        <w:rPr>
          <w:szCs w:val="24"/>
        </w:rPr>
        <w:t xml:space="preserve"> the Arctic (Table </w:t>
      </w:r>
      <w:r w:rsidR="00AB7C75">
        <w:rPr>
          <w:szCs w:val="24"/>
        </w:rPr>
        <w:t>1</w:t>
      </w:r>
      <w:r w:rsidR="00AB7C75" w:rsidRPr="00AB7C75">
        <w:rPr>
          <w:szCs w:val="24"/>
        </w:rPr>
        <w:t xml:space="preserve">). The majority of the strong low-skill ACs track east-northeastward while intensifying over the seas adjacent to Eurasia or over the central Arctic Ocean (Fig. </w:t>
      </w:r>
      <w:r w:rsidR="006926AA">
        <w:rPr>
          <w:szCs w:val="24"/>
        </w:rPr>
        <w:t>1</w:t>
      </w:r>
      <w:r w:rsidR="00AB7C75" w:rsidRPr="00AB7C75">
        <w:rPr>
          <w:szCs w:val="24"/>
        </w:rPr>
        <w:t xml:space="preserve">). </w:t>
      </w:r>
    </w:p>
    <w:p w14:paraId="05814347" w14:textId="5364EDC3" w:rsidR="00294105" w:rsidRPr="00294105" w:rsidRDefault="00294105" w:rsidP="00094EF8">
      <w:pPr>
        <w:rPr>
          <w:szCs w:val="24"/>
        </w:rPr>
      </w:pPr>
      <w:r w:rsidRPr="00294105">
        <w:rPr>
          <w:szCs w:val="24"/>
        </w:rPr>
        <w:t xml:space="preserve">Features and processes influencing </w:t>
      </w:r>
      <w:r w:rsidR="00F614BB" w:rsidRPr="00B611CC">
        <w:t xml:space="preserve">the evolution of the strong low-skill ACs are examined by constructing AC-centered composites for the ACs at various lag times relative to the time of lowest SLP </w:t>
      </w:r>
      <w:r w:rsidR="00F614BB">
        <w:t>attained by the ACs within the</w:t>
      </w:r>
      <w:r w:rsidR="00F614BB" w:rsidRPr="00B611CC">
        <w:t xml:space="preserve"> Arctic </w:t>
      </w:r>
      <w:r w:rsidRPr="00294105">
        <w:rPr>
          <w:szCs w:val="24"/>
        </w:rPr>
        <w:t>(</w:t>
      </w:r>
      <w:proofErr w:type="spellStart"/>
      <w:r w:rsidRPr="00294105">
        <w:rPr>
          <w:szCs w:val="24"/>
        </w:rPr>
        <w:t>t</w:t>
      </w:r>
      <w:r w:rsidRPr="00294105">
        <w:rPr>
          <w:szCs w:val="24"/>
          <w:vertAlign w:val="subscript"/>
        </w:rPr>
        <w:t>low</w:t>
      </w:r>
      <w:proofErr w:type="spellEnd"/>
      <w:r w:rsidRPr="00294105">
        <w:rPr>
          <w:szCs w:val="24"/>
        </w:rPr>
        <w:t>). Lag times of t</w:t>
      </w:r>
      <w:r w:rsidRPr="00294105">
        <w:rPr>
          <w:szCs w:val="24"/>
          <w:vertAlign w:val="subscript"/>
        </w:rPr>
        <w:t>low</w:t>
      </w:r>
      <w:r w:rsidRPr="00294105">
        <w:rPr>
          <w:szCs w:val="24"/>
        </w:rPr>
        <w:t>−48 h to t</w:t>
      </w:r>
      <w:r w:rsidRPr="00294105">
        <w:rPr>
          <w:szCs w:val="24"/>
          <w:vertAlign w:val="subscript"/>
        </w:rPr>
        <w:t>low</w:t>
      </w:r>
      <w:r w:rsidRPr="00294105">
        <w:rPr>
          <w:szCs w:val="24"/>
        </w:rPr>
        <w:t xml:space="preserve">+12 h, every 12 h, are </w:t>
      </w:r>
      <w:r w:rsidR="00F614BB">
        <w:rPr>
          <w:szCs w:val="24"/>
        </w:rPr>
        <w:t>considered</w:t>
      </w:r>
      <w:r w:rsidRPr="00294105">
        <w:rPr>
          <w:szCs w:val="24"/>
        </w:rPr>
        <w:t xml:space="preserve"> to examine the evolution of the ACs when the ACs intensify and reach peak intensity. For each lag time, the mean latitude and mean longitude of the ACs are determined. ERA5 grids of selected dynamic and thermodynamic quantities at </w:t>
      </w:r>
      <w:r w:rsidRPr="00294105">
        <w:rPr>
          <w:szCs w:val="24"/>
        </w:rPr>
        <w:lastRenderedPageBreak/>
        <w:t xml:space="preserve">0.25° horizontal resolution </w:t>
      </w:r>
      <w:r w:rsidR="00E606B3">
        <w:rPr>
          <w:szCs w:val="24"/>
        </w:rPr>
        <w:t>(</w:t>
      </w:r>
      <w:proofErr w:type="spellStart"/>
      <w:r w:rsidR="00E606B3" w:rsidRPr="00294105">
        <w:rPr>
          <w:szCs w:val="24"/>
        </w:rPr>
        <w:t>Hersbach</w:t>
      </w:r>
      <w:proofErr w:type="spellEnd"/>
      <w:r w:rsidR="00E606B3" w:rsidRPr="00294105">
        <w:rPr>
          <w:szCs w:val="24"/>
        </w:rPr>
        <w:t xml:space="preserve"> et al. 2020</w:t>
      </w:r>
      <w:r w:rsidR="00E606B3">
        <w:rPr>
          <w:szCs w:val="24"/>
        </w:rPr>
        <w:t>, 2023a, 2023b)</w:t>
      </w:r>
      <w:r w:rsidR="00E606B3" w:rsidRPr="00294105">
        <w:rPr>
          <w:szCs w:val="24"/>
        </w:rPr>
        <w:t xml:space="preserve"> </w:t>
      </w:r>
      <w:r w:rsidRPr="00294105">
        <w:rPr>
          <w:szCs w:val="24"/>
        </w:rPr>
        <w:t xml:space="preserve">are shifted and rotated such that the center of each AC (i.e., location of minimum SLP) is positioned at the mean latitude and mean longitude of the ACs. </w:t>
      </w:r>
    </w:p>
    <w:p w14:paraId="2941A8DD" w14:textId="19F39F5D" w:rsidR="00492F6D" w:rsidRPr="00691A1B" w:rsidRDefault="00294105" w:rsidP="00691A1B">
      <w:pPr>
        <w:rPr>
          <w:szCs w:val="24"/>
        </w:rPr>
      </w:pPr>
      <w:r w:rsidRPr="00294105">
        <w:rPr>
          <w:szCs w:val="24"/>
        </w:rPr>
        <w:t>Since ERA5 data are on latitude–longitude grids, the area of grid cells over the Arctic varies. In order to shift ERA5 grids while preserving area, each ERA5 grid is projected onto a 25-km polar Equal-Area Scalable Earth 2.0 (EASE2) grid (</w:t>
      </w:r>
      <w:proofErr w:type="spellStart"/>
      <w:r w:rsidRPr="00294105">
        <w:rPr>
          <w:szCs w:val="24"/>
        </w:rPr>
        <w:t>Brodzik</w:t>
      </w:r>
      <w:proofErr w:type="spellEnd"/>
      <w:r w:rsidRPr="00294105">
        <w:rPr>
          <w:szCs w:val="24"/>
        </w:rPr>
        <w:t xml:space="preserve"> et al. 2012) by utilizing a portion of the cyclone tracking algorithm developed by Crawford et al. (2021) that projects latitude–longitude grids onto EASE2 grids. The EASE2 grid uses a polar Lambert azimuthal equal-area projection centered at 90°N, 0°E (</w:t>
      </w:r>
      <w:proofErr w:type="spellStart"/>
      <w:r w:rsidRPr="00294105">
        <w:rPr>
          <w:szCs w:val="24"/>
        </w:rPr>
        <w:t>Brodzik</w:t>
      </w:r>
      <w:proofErr w:type="spellEnd"/>
      <w:r w:rsidRPr="00294105">
        <w:rPr>
          <w:szCs w:val="24"/>
        </w:rPr>
        <w:t xml:space="preserve"> et al. 2012). Each ERA5 latitude–longitude grid is first rotated such that the AC center is located at 0°E, which lies along the y-axis of the EASE2 grid, before being projected onto the EASE2 grid. Doing this rotation allows both the AC center and North Pole to lie along the y-axis of the EASE2 grid such that the y-axis corresponds to the meridional direction with respect to the AC center. Each EASE2 grid is then shifted north or south along the y-axis, such that the AC center is located at the grid point closest to the mean latitude of the ACs. Each shifted EASE2 grid is then projected back onto a 0.25° latitude–longitude grid and lastly rotated such that the AC center is located at the mean longitude of the ACs. The resulting grids are then composited for each lag time. Throughout </w:t>
      </w:r>
      <w:r w:rsidR="00151DA3">
        <w:rPr>
          <w:szCs w:val="24"/>
        </w:rPr>
        <w:t>section 3a</w:t>
      </w:r>
      <w:r w:rsidRPr="00294105">
        <w:rPr>
          <w:szCs w:val="24"/>
        </w:rPr>
        <w:t>, geography will be shown on composite maps for reference. Since the ACs form over various locations, the geography is not representative of all ACs. The influence of land–sea boundaries, ice–sea boundaries, and topographic features on the evolution of the ACs will thus not be discussed, given that the locations of these boundaries and topographic features vary among the ACs.</w:t>
      </w:r>
    </w:p>
    <w:p w14:paraId="18294BD4" w14:textId="5BE36757" w:rsidR="00B36F8E" w:rsidRPr="00B36F8E" w:rsidRDefault="00B36F8E" w:rsidP="00B36F8E">
      <w:pPr>
        <w:pStyle w:val="H2"/>
        <w:rPr>
          <w:szCs w:val="24"/>
        </w:rPr>
      </w:pPr>
      <w:r>
        <w:rPr>
          <w:szCs w:val="24"/>
        </w:rPr>
        <w:t>b</w:t>
      </w:r>
      <w:r w:rsidRPr="00B36F8E">
        <w:rPr>
          <w:szCs w:val="24"/>
        </w:rPr>
        <w:t xml:space="preserve">. </w:t>
      </w:r>
      <w:r w:rsidR="00875C0D">
        <w:rPr>
          <w:szCs w:val="24"/>
        </w:rPr>
        <w:t>Analysis of AC16</w:t>
      </w:r>
    </w:p>
    <w:p w14:paraId="40A61180" w14:textId="0979CFA1" w:rsidR="00512746" w:rsidRDefault="00465F3B" w:rsidP="00691A1B">
      <w:pPr>
        <w:pStyle w:val="ParagraphText"/>
      </w:pPr>
      <w:r>
        <w:t xml:space="preserve">The </w:t>
      </w:r>
      <w:r w:rsidR="0043573C">
        <w:t xml:space="preserve">ERA5 </w:t>
      </w:r>
      <w:r>
        <w:t xml:space="preserve">dataset </w:t>
      </w:r>
      <w:r w:rsidR="0043573C">
        <w:t>is utilized to perform a synoptic-dynamic analysis of AC16</w:t>
      </w:r>
      <w:r w:rsidR="00D12DD4" w:rsidRPr="00AB7C75">
        <w:rPr>
          <w:szCs w:val="24"/>
        </w:rPr>
        <w:t xml:space="preserve"> </w:t>
      </w:r>
      <w:r w:rsidR="004D0A2E">
        <w:rPr>
          <w:szCs w:val="24"/>
        </w:rPr>
        <w:t xml:space="preserve">in order </w:t>
      </w:r>
      <w:r w:rsidR="0043573C">
        <w:t xml:space="preserve">to identify features and processes influencing the evolution of AC16. </w:t>
      </w:r>
      <w:r w:rsidR="00D12DD4">
        <w:t xml:space="preserve">As mentioned in section 2a, AC16 is a strong low-skill AC that occurs during 12–22 August 2016. </w:t>
      </w:r>
      <w:r w:rsidR="00492F6D">
        <w:t>AC16</w:t>
      </w:r>
      <w:r w:rsidR="00492F6D" w:rsidRPr="00AB29C6">
        <w:t xml:space="preserve"> tracks east-northeast</w:t>
      </w:r>
      <w:r w:rsidR="00492F6D">
        <w:t>ward</w:t>
      </w:r>
      <w:r w:rsidR="00492F6D" w:rsidRPr="00AB29C6">
        <w:t xml:space="preserve"> north of Eurasia during 1</w:t>
      </w:r>
      <w:r w:rsidR="00BB5C61">
        <w:t>2</w:t>
      </w:r>
      <w:r w:rsidR="00492F6D" w:rsidRPr="00AB29C6">
        <w:t>–1</w:t>
      </w:r>
      <w:r w:rsidR="00BB5C61">
        <w:t>5 August, performs a cyclonic loop over the Arctic Ocean during 15–18</w:t>
      </w:r>
      <w:r w:rsidR="00492F6D" w:rsidRPr="00AB29C6">
        <w:t xml:space="preserve"> August</w:t>
      </w:r>
      <w:r w:rsidR="00BB5C61">
        <w:t xml:space="preserve">, </w:t>
      </w:r>
      <w:r w:rsidR="003F5728">
        <w:t>and</w:t>
      </w:r>
      <w:r w:rsidR="00BB5C61">
        <w:t xml:space="preserve"> </w:t>
      </w:r>
      <w:r w:rsidR="003F5728">
        <w:t xml:space="preserve">then </w:t>
      </w:r>
      <w:r w:rsidR="00BB5C61">
        <w:t xml:space="preserve">tracks </w:t>
      </w:r>
      <w:r w:rsidR="003F5728">
        <w:t xml:space="preserve">generally eastward </w:t>
      </w:r>
      <w:r w:rsidR="00BB5C61">
        <w:t>over the Arctic Ocean during 18–22 August</w:t>
      </w:r>
      <w:r w:rsidR="00492F6D">
        <w:t xml:space="preserve"> in ERA5</w:t>
      </w:r>
      <w:r w:rsidR="00492F6D" w:rsidRPr="00AB29C6">
        <w:t xml:space="preserve"> (Fig. </w:t>
      </w:r>
      <w:r w:rsidR="00BB5C61">
        <w:t>2a</w:t>
      </w:r>
      <w:r w:rsidR="00492F6D" w:rsidRPr="00AB29C6">
        <w:t>)</w:t>
      </w:r>
      <w:r w:rsidR="00492F6D">
        <w:t>. AC16 rapidly intensifies during 1</w:t>
      </w:r>
      <w:r w:rsidR="00BB5C61">
        <w:t>2</w:t>
      </w:r>
      <w:r w:rsidR="00492F6D">
        <w:t>–15 August</w:t>
      </w:r>
      <w:r w:rsidR="00492F6D" w:rsidRPr="00AB29C6">
        <w:t xml:space="preserve">, reaching a peak intensity </w:t>
      </w:r>
      <w:r w:rsidR="00492F6D">
        <w:t>of 968.</w:t>
      </w:r>
      <w:r w:rsidR="0043573C">
        <w:t>3</w:t>
      </w:r>
      <w:r w:rsidR="00492F6D" w:rsidRPr="00AB29C6">
        <w:t xml:space="preserve"> </w:t>
      </w:r>
      <w:proofErr w:type="spellStart"/>
      <w:r w:rsidR="00492F6D" w:rsidRPr="00AB29C6">
        <w:t>h</w:t>
      </w:r>
      <w:r w:rsidR="00492F6D">
        <w:t>Pa</w:t>
      </w:r>
      <w:proofErr w:type="spellEnd"/>
      <w:r w:rsidR="00492F6D">
        <w:t xml:space="preserve"> at 0000 UTC 16 August in ERA5 </w:t>
      </w:r>
      <w:r w:rsidR="00492F6D" w:rsidRPr="00AB29C6">
        <w:t xml:space="preserve">(Fig. </w:t>
      </w:r>
      <w:r w:rsidR="00BB5C61">
        <w:t>2b</w:t>
      </w:r>
      <w:r w:rsidR="00492F6D" w:rsidRPr="00AB29C6">
        <w:t>).</w:t>
      </w:r>
      <w:r w:rsidR="00BB5C61">
        <w:t xml:space="preserve"> AC16 weakens until 1200 UTC 19 August and then </w:t>
      </w:r>
      <w:r>
        <w:t xml:space="preserve">appears to </w:t>
      </w:r>
      <w:r w:rsidR="00BB5C61">
        <w:t xml:space="preserve">strengthen as </w:t>
      </w:r>
      <w:proofErr w:type="gramStart"/>
      <w:r w:rsidR="00BB5C61">
        <w:t>it</w:t>
      </w:r>
      <w:proofErr w:type="gramEnd"/>
      <w:r w:rsidR="00BB5C61">
        <w:t xml:space="preserve"> mergers with another </w:t>
      </w:r>
      <w:r w:rsidR="00BB5C61">
        <w:lastRenderedPageBreak/>
        <w:t>AC (not shown) during 1200 UTC–1800 UTC 19 August (Fig. 2b). AC16 then weakens after 1800 UTC 19 August (Fig. 2b).</w:t>
      </w:r>
      <w:r w:rsidR="00492F6D">
        <w:t xml:space="preserve"> </w:t>
      </w:r>
    </w:p>
    <w:p w14:paraId="4ABF21DE" w14:textId="3895E2FA" w:rsidR="0059673D" w:rsidRDefault="00512746" w:rsidP="00691A1B">
      <w:pPr>
        <w:pStyle w:val="ParagraphText"/>
      </w:pPr>
      <w:r>
        <w:t>Ensemble f</w:t>
      </w:r>
      <w:r w:rsidR="00492F6D">
        <w:t xml:space="preserve">orecasts from the </w:t>
      </w:r>
      <w:r w:rsidR="00492F6D" w:rsidRPr="001E7E03">
        <w:t xml:space="preserve">51-member ECMWF </w:t>
      </w:r>
      <w:r>
        <w:t>ensemble prediction system (</w:t>
      </w:r>
      <w:r w:rsidR="00492F6D">
        <w:t>EPS</w:t>
      </w:r>
      <w:r>
        <w:t>)</w:t>
      </w:r>
      <w:r w:rsidR="00492F6D" w:rsidRPr="001E7E03">
        <w:t xml:space="preserve"> </w:t>
      </w:r>
      <w:r w:rsidR="00492F6D">
        <w:t xml:space="preserve">that are extracted </w:t>
      </w:r>
      <w:r w:rsidR="00492F6D" w:rsidRPr="001E7E03">
        <w:t>from The Observing System</w:t>
      </w:r>
      <w:r w:rsidR="00492F6D">
        <w:t xml:space="preserve"> </w:t>
      </w:r>
      <w:r w:rsidR="00492F6D" w:rsidRPr="001E7E03">
        <w:t>Research and Predictability Experiment</w:t>
      </w:r>
      <w:r w:rsidR="00492F6D">
        <w:t xml:space="preserve"> (THORPEX)</w:t>
      </w:r>
      <w:r w:rsidR="00492F6D" w:rsidRPr="001E7E03">
        <w:t xml:space="preserve"> Interactive</w:t>
      </w:r>
      <w:r w:rsidR="00492F6D">
        <w:t xml:space="preserve"> Grand Global Ensemble (TIGGE)</w:t>
      </w:r>
      <w:r w:rsidR="00492F6D" w:rsidRPr="001E7E03">
        <w:t xml:space="preserve"> </w:t>
      </w:r>
      <w:r w:rsidR="00492F6D">
        <w:t>(</w:t>
      </w:r>
      <w:proofErr w:type="spellStart"/>
      <w:r w:rsidR="00492F6D" w:rsidRPr="001E7E03">
        <w:t>Bougeault</w:t>
      </w:r>
      <w:proofErr w:type="spellEnd"/>
      <w:r w:rsidR="00492F6D" w:rsidRPr="001E7E03">
        <w:t xml:space="preserve"> et al.</w:t>
      </w:r>
      <w:r w:rsidR="00492F6D">
        <w:t xml:space="preserve"> 2010) at 0.5° horizontal </w:t>
      </w:r>
      <w:r w:rsidR="00BC4B42">
        <w:t>grid spacing</w:t>
      </w:r>
      <w:r w:rsidR="00492F6D">
        <w:t xml:space="preserve"> are utilized to examine </w:t>
      </w:r>
      <w:r w:rsidR="007205F2" w:rsidRPr="00B460CB">
        <w:t xml:space="preserve">features and processes influencing the </w:t>
      </w:r>
      <w:r w:rsidR="007205F2">
        <w:t xml:space="preserve">forecast skill </w:t>
      </w:r>
      <w:r w:rsidR="007205F2" w:rsidRPr="00B460CB">
        <w:t xml:space="preserve">of </w:t>
      </w:r>
      <w:r w:rsidR="007205F2">
        <w:t xml:space="preserve">the intensity of </w:t>
      </w:r>
      <w:r w:rsidR="007205F2" w:rsidRPr="00B460CB">
        <w:t>AC16</w:t>
      </w:r>
      <w:r w:rsidR="007205F2">
        <w:t xml:space="preserve">. </w:t>
      </w:r>
      <w:r w:rsidR="00492F6D">
        <w:t>Ensemble forecasts from the ECMWF EPS initialized at 0000 UTC 10 August</w:t>
      </w:r>
      <w:r w:rsidR="00A93B0E">
        <w:t xml:space="preserve"> </w:t>
      </w:r>
      <w:r w:rsidR="00492F6D">
        <w:t>and verifying at 0000 UTC 15 August</w:t>
      </w:r>
      <w:r w:rsidR="00A93B0E">
        <w:t xml:space="preserve"> </w:t>
      </w:r>
      <w:r w:rsidR="00492F6D">
        <w:t xml:space="preserve">(120 h) are </w:t>
      </w:r>
      <w:r w:rsidR="007205F2">
        <w:t>utilized.</w:t>
      </w:r>
      <w:r w:rsidR="007205F2" w:rsidRPr="007205F2">
        <w:t xml:space="preserve"> </w:t>
      </w:r>
      <w:r w:rsidR="007205F2">
        <w:t xml:space="preserve">The aforementioned ensemble forecasts from the ECMWF EPS are utilized because </w:t>
      </w:r>
      <w:r w:rsidR="007205F2" w:rsidRPr="00DD7004">
        <w:t>ensemble forecasts initialized at 0000 UTC 10 August</w:t>
      </w:r>
      <w:r w:rsidR="007205F2">
        <w:t xml:space="preserve"> </w:t>
      </w:r>
      <w:r w:rsidR="007205F2" w:rsidRPr="00DD7004">
        <w:t>and verifying at 0000 UTC 15 August (120 h)</w:t>
      </w:r>
      <w:r w:rsidR="007205F2" w:rsidRPr="00E13CA5">
        <w:t xml:space="preserve"> </w:t>
      </w:r>
      <w:r w:rsidR="007205F2">
        <w:t xml:space="preserve">from </w:t>
      </w:r>
      <w:r w:rsidR="007205F2" w:rsidRPr="002E761C">
        <w:t xml:space="preserve">the </w:t>
      </w:r>
      <w:r w:rsidR="007205F2">
        <w:t xml:space="preserve">11-member </w:t>
      </w:r>
      <w:r w:rsidR="007205F2" w:rsidRPr="002E761C">
        <w:t>GEFS reforecast dataset version 2</w:t>
      </w:r>
      <w:r w:rsidR="00C0034C">
        <w:t xml:space="preserve"> (Hamill et al. 2013)</w:t>
      </w:r>
      <w:r w:rsidR="007205F2">
        <w:t xml:space="preserve"> were identified in </w:t>
      </w:r>
      <w:proofErr w:type="spellStart"/>
      <w:r w:rsidR="007205F2">
        <w:t>Biernat</w:t>
      </w:r>
      <w:proofErr w:type="spellEnd"/>
      <w:r w:rsidR="007205F2">
        <w:t xml:space="preserve"> et al. (2023) as </w:t>
      </w:r>
      <w:r w:rsidR="007205F2" w:rsidRPr="00DD7004">
        <w:t xml:space="preserve">low-skill forecasts </w:t>
      </w:r>
      <w:r w:rsidR="007205F2">
        <w:t>of the synoptic-scale flow over the Arctic.</w:t>
      </w:r>
      <w:r w:rsidR="009244EA">
        <w:t xml:space="preserve"> </w:t>
      </w:r>
      <w:r>
        <w:t xml:space="preserve">The intensity and position of </w:t>
      </w:r>
      <w:r w:rsidRPr="009E0E90">
        <w:t xml:space="preserve">AC16 is manually identified in </w:t>
      </w:r>
      <w:r>
        <w:t>each</w:t>
      </w:r>
      <w:r w:rsidRPr="009E0E90">
        <w:t xml:space="preserve"> ensemble forecast at 0000 UTC 15 August (120 h).</w:t>
      </w:r>
      <w:r w:rsidRPr="00512746">
        <w:t xml:space="preserve"> </w:t>
      </w:r>
      <w:r>
        <w:t>Figure 3 shows the intensity</w:t>
      </w:r>
      <w:r w:rsidRPr="00AB29C6">
        <w:t xml:space="preserve"> </w:t>
      </w:r>
      <w:r>
        <w:t xml:space="preserve">and position of </w:t>
      </w:r>
      <w:r w:rsidRPr="00AB29C6">
        <w:t>AC</w:t>
      </w:r>
      <w:r>
        <w:t>16</w:t>
      </w:r>
      <w:r w:rsidRPr="00AB29C6">
        <w:t xml:space="preserve"> at </w:t>
      </w:r>
      <w:r>
        <w:t>0000 UTC 15 August (120 h) in ERA5 and the ensemble forecasts</w:t>
      </w:r>
      <w:r w:rsidRPr="00AB29C6">
        <w:t xml:space="preserve">. </w:t>
      </w:r>
      <w:r w:rsidR="0062727E">
        <w:t>Figure 3 shows that there is</w:t>
      </w:r>
      <w:r w:rsidRPr="00AB29C6">
        <w:t xml:space="preserve"> large uncertainty in th</w:t>
      </w:r>
      <w:r>
        <w:t xml:space="preserve">e intensity </w:t>
      </w:r>
      <w:r w:rsidR="00BF2289">
        <w:t xml:space="preserve">of </w:t>
      </w:r>
      <w:r w:rsidRPr="00AB29C6">
        <w:t>AC</w:t>
      </w:r>
      <w:r>
        <w:t>16</w:t>
      </w:r>
      <w:r w:rsidRPr="00AB29C6">
        <w:t xml:space="preserve"> at </w:t>
      </w:r>
      <w:r>
        <w:t>0000 UTC 15 August</w:t>
      </w:r>
      <w:r w:rsidR="00D12DD4">
        <w:t xml:space="preserve"> </w:t>
      </w:r>
      <w:r>
        <w:t>(120 h)</w:t>
      </w:r>
      <w:r w:rsidR="0062727E">
        <w:t>,</w:t>
      </w:r>
      <w:r w:rsidR="00BF2289">
        <w:t xml:space="preserve"> with the </w:t>
      </w:r>
      <w:r w:rsidR="00BF2289">
        <w:t>ensemble forecasts</w:t>
      </w:r>
      <w:r w:rsidR="00BF2289">
        <w:t xml:space="preserve"> of</w:t>
      </w:r>
      <w:r w:rsidR="00BF2289">
        <w:t xml:space="preserve"> minimum SLP </w:t>
      </w:r>
      <w:r w:rsidR="00BF2289">
        <w:t>at this time</w:t>
      </w:r>
      <w:r w:rsidR="00BF2289">
        <w:t xml:space="preserve"> rang</w:t>
      </w:r>
      <w:r w:rsidR="00BF2289">
        <w:t>ing</w:t>
      </w:r>
      <w:r w:rsidR="00BF2289">
        <w:t xml:space="preserve"> between 968.7 </w:t>
      </w:r>
      <w:proofErr w:type="spellStart"/>
      <w:r w:rsidR="00BF2289">
        <w:t>hPa</w:t>
      </w:r>
      <w:proofErr w:type="spellEnd"/>
      <w:r w:rsidR="00BF2289">
        <w:t xml:space="preserve"> and 995.6 </w:t>
      </w:r>
      <w:proofErr w:type="spellStart"/>
      <w:r w:rsidR="00BF2289">
        <w:t>hPa</w:t>
      </w:r>
      <w:proofErr w:type="spellEnd"/>
      <w:r w:rsidR="00BF2289">
        <w:t xml:space="preserve">. The </w:t>
      </w:r>
      <w:r w:rsidR="00BF2289" w:rsidRPr="00AB29C6">
        <w:t>large uncertainty in th</w:t>
      </w:r>
      <w:r w:rsidR="00BF2289">
        <w:t>e intensity</w:t>
      </w:r>
      <w:r w:rsidR="00BF2289">
        <w:t xml:space="preserve"> of</w:t>
      </w:r>
      <w:r w:rsidR="00BF2289">
        <w:t xml:space="preserve"> </w:t>
      </w:r>
      <w:r w:rsidR="00BF2289" w:rsidRPr="00AB29C6">
        <w:t>AC</w:t>
      </w:r>
      <w:r w:rsidR="00BF2289">
        <w:t>16</w:t>
      </w:r>
      <w:r w:rsidR="00BF2289" w:rsidRPr="00AB29C6">
        <w:t xml:space="preserve"> at </w:t>
      </w:r>
      <w:r w:rsidR="00BF2289">
        <w:t>0000 UTC 15 August (120 h)</w:t>
      </w:r>
      <w:r w:rsidR="0062727E">
        <w:t xml:space="preserve"> facilitates examining features and processes influencing the forecast skill of the intensity of </w:t>
      </w:r>
      <w:r w:rsidR="001C0E10">
        <w:t>AC16</w:t>
      </w:r>
      <w:r w:rsidR="0062727E">
        <w:t>.</w:t>
      </w:r>
      <w:r w:rsidR="00BF2289">
        <w:t xml:space="preserve"> </w:t>
      </w:r>
    </w:p>
    <w:p w14:paraId="2C0464CD" w14:textId="4523F56B" w:rsidR="00F16897" w:rsidRDefault="00F16897" w:rsidP="00DC0BCC">
      <w:pPr>
        <w:tabs>
          <w:tab w:val="left" w:pos="8820"/>
        </w:tabs>
      </w:pPr>
      <w:r>
        <w:t xml:space="preserve">The </w:t>
      </w:r>
      <w:r w:rsidR="009244EA">
        <w:t>ESA</w:t>
      </w:r>
      <w:r>
        <w:t xml:space="preserve"> technique (e.g., Torn and Hakim 2008) is utilized to examine the sensitivity of the forecast skill of</w:t>
      </w:r>
      <w:r w:rsidR="00876D51">
        <w:t xml:space="preserve"> the</w:t>
      </w:r>
      <w:r>
        <w:t xml:space="preserve"> intensity of AC16</w:t>
      </w:r>
      <w:r w:rsidR="0087435E" w:rsidRPr="0087435E">
        <w:t xml:space="preserve"> </w:t>
      </w:r>
      <w:r w:rsidR="0087435E" w:rsidRPr="00AB29C6">
        <w:t xml:space="preserve">at </w:t>
      </w:r>
      <w:r w:rsidR="0087435E">
        <w:t>0000 UTC 15 August (120 h)</w:t>
      </w:r>
      <w:r>
        <w:t xml:space="preserve"> to selected dynamic and thermodynamic quantities at earlier forecast lead times. The sensitivity of a forecast metric of interest </w:t>
      </w:r>
      <w:r w:rsidRPr="009D4A60">
        <w:rPr>
          <w:i/>
        </w:rPr>
        <w:t>J</w:t>
      </w:r>
      <w:r>
        <w:t xml:space="preserve"> to a model state variable </w:t>
      </w:r>
      <w:r w:rsidRPr="00D4107D">
        <w:rPr>
          <w:i/>
        </w:rPr>
        <w:t>x</w:t>
      </w:r>
      <w:r w:rsidRPr="00D4107D">
        <w:rPr>
          <w:i/>
          <w:vertAlign w:val="subscript"/>
        </w:rPr>
        <w:t>i</w:t>
      </w:r>
      <w:r>
        <w:t xml:space="preserve"> at an earlier forecast lead time for an ensemble of size </w:t>
      </w:r>
      <w:r w:rsidRPr="000136F2">
        <w:rPr>
          <w:i/>
          <w:iCs/>
        </w:rPr>
        <w:t>M</w:t>
      </w:r>
      <w:r>
        <w:t xml:space="preserve"> is calculated via</w:t>
      </w:r>
    </w:p>
    <w:p w14:paraId="3F9BE2DE" w14:textId="166C2FD8" w:rsidR="00F16897" w:rsidRPr="0072028A" w:rsidRDefault="00000000" w:rsidP="00F16897">
      <w:pPr>
        <w:tabs>
          <w:tab w:val="left" w:pos="3320"/>
        </w:tabs>
        <w:ind w:firstLine="720"/>
        <w:jc w:val="right"/>
      </w:pPr>
      <m:oMath>
        <m:f>
          <m:fPr>
            <m:ctrlPr>
              <w:rPr>
                <w:rFonts w:ascii="Cambria Math" w:hAnsi="Cambria Math"/>
                <w:i/>
              </w:rPr>
            </m:ctrlPr>
          </m:fPr>
          <m:num>
            <m:r>
              <m:rPr>
                <m:sty m:val="p"/>
              </m:rPr>
              <w:rPr>
                <w:rFonts w:ascii="Cambria Math" w:hAnsi="Cambria Math"/>
              </w:rPr>
              <m:t>∂</m:t>
            </m:r>
            <m:r>
              <w:rPr>
                <w:rFonts w:ascii="Cambria Math" w:hAnsi="Cambria Math"/>
              </w:rPr>
              <m:t>J</m:t>
            </m:r>
          </m:num>
          <m:den>
            <m:r>
              <m:rPr>
                <m:sty m:val="p"/>
              </m:rP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den>
        </m:f>
        <m:r>
          <w:rPr>
            <w:rFonts w:ascii="Cambria Math" w:hAnsi="Cambria Math"/>
          </w:rPr>
          <m:t>=</m:t>
        </m:r>
        <m:f>
          <m:fPr>
            <m:ctrlPr>
              <w:rPr>
                <w:rFonts w:ascii="Cambria Math" w:hAnsi="Cambria Math"/>
                <w:i/>
              </w:rPr>
            </m:ctrlPr>
          </m:fPr>
          <m:num>
            <m:r>
              <m:rPr>
                <m:sty m:val="p"/>
              </m:rPr>
              <w:rPr>
                <w:rFonts w:ascii="Cambria Math" w:hAnsi="Cambria Math"/>
              </w:rPr>
              <m:t>cov</m:t>
            </m:r>
            <m:r>
              <w:rPr>
                <w:rFonts w:ascii="Cambria Math" w:hAnsi="Cambria Math"/>
              </w:rPr>
              <m:t>(</m:t>
            </m:r>
            <m:r>
              <m:rPr>
                <m:sty m:val="b"/>
              </m:rPr>
              <w:rPr>
                <w:rFonts w:ascii="Cambria Math" w:hAnsi="Cambria Math"/>
              </w:rPr>
              <m:t>J</m:t>
            </m:r>
            <m:r>
              <w:rPr>
                <w:rFonts w:ascii="Cambria Math" w:hAnsi="Cambria Math"/>
              </w:rPr>
              <m:t>,</m:t>
            </m:r>
            <m:sSub>
              <m:sSubPr>
                <m:ctrlPr>
                  <w:rPr>
                    <w:rFonts w:ascii="Cambria Math" w:hAnsi="Cambria Math"/>
                    <w:i/>
                  </w:rPr>
                </m:ctrlPr>
              </m:sSubPr>
              <m:e>
                <m:r>
                  <m:rPr>
                    <m:sty m:val="bi"/>
                  </m:rPr>
                  <w:rPr>
                    <w:rFonts w:ascii="Cambria Math" w:hAnsi="Cambria Math"/>
                  </w:rPr>
                  <m:t xml:space="preserve"> </m:t>
                </m:r>
                <m:r>
                  <m:rPr>
                    <m:sty m:val="b"/>
                  </m:rPr>
                  <w:rPr>
                    <w:rFonts w:ascii="Cambria Math" w:hAnsi="Cambria Math"/>
                  </w:rPr>
                  <m:t>x</m:t>
                </m:r>
              </m:e>
              <m:sub>
                <m:r>
                  <w:rPr>
                    <w:rFonts w:ascii="Cambria Math" w:hAnsi="Cambria Math"/>
                  </w:rPr>
                  <m:t>i</m:t>
                </m:r>
              </m:sub>
            </m:sSub>
            <m:r>
              <w:rPr>
                <w:rFonts w:ascii="Cambria Math" w:hAnsi="Cambria Math"/>
              </w:rPr>
              <m:t>)</m:t>
            </m:r>
          </m:num>
          <m:den>
            <m:r>
              <m:rPr>
                <m:sty m:val="p"/>
              </m:rPr>
              <w:rPr>
                <w:rFonts w:ascii="Cambria Math" w:hAnsi="Cambria Math"/>
              </w:rPr>
              <m:t>var</m:t>
            </m:r>
            <m:r>
              <w:rPr>
                <w:rFonts w:ascii="Cambria Math" w:hAnsi="Cambria Math"/>
              </w:rPr>
              <m:t>(</m:t>
            </m:r>
            <m:sSub>
              <m:sSubPr>
                <m:ctrlPr>
                  <w:rPr>
                    <w:rFonts w:ascii="Cambria Math" w:hAnsi="Cambria Math"/>
                    <w:i/>
                  </w:rPr>
                </m:ctrlPr>
              </m:sSubPr>
              <m:e>
                <m:r>
                  <m:rPr>
                    <m:sty m:val="b"/>
                  </m:rPr>
                  <w:rPr>
                    <w:rFonts w:ascii="Cambria Math" w:hAnsi="Cambria Math"/>
                  </w:rPr>
                  <m:t>x</m:t>
                </m:r>
              </m:e>
              <m:sub>
                <m:r>
                  <w:rPr>
                    <w:rFonts w:ascii="Cambria Math" w:hAnsi="Cambria Math"/>
                  </w:rPr>
                  <m:t>i</m:t>
                </m:r>
              </m:sub>
            </m:sSub>
            <m:r>
              <w:rPr>
                <w:rFonts w:ascii="Cambria Math" w:hAnsi="Cambria Math"/>
              </w:rPr>
              <m:t>)</m:t>
            </m:r>
          </m:den>
        </m:f>
      </m:oMath>
      <w:r w:rsidR="00F16897">
        <w:t xml:space="preserve"> </w:t>
      </w:r>
      <w:proofErr w:type="gramStart"/>
      <w:r w:rsidR="00F16897">
        <w:t xml:space="preserve">,   </w:t>
      </w:r>
      <w:proofErr w:type="gramEnd"/>
      <w:r w:rsidR="00F16897">
        <w:t xml:space="preserve">                                                             (</w:t>
      </w:r>
      <w:r w:rsidR="0059673D">
        <w:t>1</w:t>
      </w:r>
      <w:r w:rsidR="00F16897">
        <w:t>)</w:t>
      </w:r>
    </w:p>
    <w:p w14:paraId="6F8BA196" w14:textId="00065C2C" w:rsidR="00472F9D" w:rsidRDefault="00F16897" w:rsidP="00D12DD4">
      <w:pPr>
        <w:ind w:firstLine="0"/>
      </w:pPr>
      <w:r>
        <w:t xml:space="preserve">where </w:t>
      </w:r>
      <w:r w:rsidRPr="00984662">
        <w:rPr>
          <w:b/>
        </w:rPr>
        <w:t>J</w:t>
      </w:r>
      <w:r>
        <w:t xml:space="preserve"> denotes the 1 × </w:t>
      </w:r>
      <w:r w:rsidRPr="00984662">
        <w:rPr>
          <w:i/>
        </w:rPr>
        <w:t>M</w:t>
      </w:r>
      <w:r>
        <w:t xml:space="preserve"> ensemble estimate of the forecast metric, </w:t>
      </w:r>
      <w:r w:rsidRPr="00984662">
        <w:rPr>
          <w:b/>
        </w:rPr>
        <w:t>x</w:t>
      </w:r>
      <w:r w:rsidRPr="00790781">
        <w:rPr>
          <w:i/>
          <w:vertAlign w:val="subscript"/>
        </w:rPr>
        <w:t>i</w:t>
      </w:r>
      <w:r>
        <w:t xml:space="preserve"> denotes the 1 × </w:t>
      </w:r>
      <w:r w:rsidRPr="00984662">
        <w:rPr>
          <w:i/>
        </w:rPr>
        <w:t>M</w:t>
      </w:r>
      <w:r>
        <w:t xml:space="preserve"> ensemble estimate of the </w:t>
      </w:r>
      <w:proofErr w:type="spellStart"/>
      <w:r w:rsidRPr="00984662">
        <w:rPr>
          <w:i/>
        </w:rPr>
        <w:t>i</w:t>
      </w:r>
      <w:r>
        <w:t>th</w:t>
      </w:r>
      <w:proofErr w:type="spellEnd"/>
      <w:r>
        <w:t xml:space="preserve"> model state variable, </w:t>
      </w:r>
      <w:proofErr w:type="spellStart"/>
      <w:r w:rsidRPr="00D4107D">
        <w:t>cov</w:t>
      </w:r>
      <w:proofErr w:type="spellEnd"/>
      <w:r>
        <w:t xml:space="preserve"> denotes the covariance, and </w:t>
      </w:r>
      <w:r w:rsidRPr="00D4107D">
        <w:t>var</w:t>
      </w:r>
      <w:r>
        <w:t xml:space="preserve"> denotes the variance (e.g., Torn and Hakim 2008). The </w:t>
      </w:r>
      <w:r w:rsidRPr="009D4A60">
        <w:t xml:space="preserve">values of </w:t>
      </w:r>
      <w:r w:rsidRPr="009D4A60">
        <w:rPr>
          <w:i/>
        </w:rPr>
        <w:t>x</w:t>
      </w:r>
      <w:r w:rsidRPr="009D4A60">
        <w:rPr>
          <w:i/>
          <w:vertAlign w:val="subscript"/>
        </w:rPr>
        <w:t>i</w:t>
      </w:r>
      <w:r w:rsidRPr="009D4A60">
        <w:t xml:space="preserve"> are normalized by the ensemble standard deviation of </w:t>
      </w:r>
      <w:r w:rsidRPr="009D4A60">
        <w:rPr>
          <w:i/>
        </w:rPr>
        <w:t>x</w:t>
      </w:r>
      <w:r w:rsidRPr="009D4A60">
        <w:rPr>
          <w:i/>
          <w:vertAlign w:val="subscript"/>
        </w:rPr>
        <w:t>i</w:t>
      </w:r>
      <w:r>
        <w:t xml:space="preserve"> following Torn and Romine (2015)</w:t>
      </w:r>
      <w:r w:rsidRPr="009D4A60">
        <w:t xml:space="preserve">, </w:t>
      </w:r>
      <w:r>
        <w:t>such that</w:t>
      </w:r>
      <w:r w:rsidRPr="009D4A60">
        <w:t xml:space="preserve"> all sensitivities have units of the forecast metric per standard deviation of the </w:t>
      </w:r>
      <w:r>
        <w:t xml:space="preserve">model </w:t>
      </w:r>
      <w:r w:rsidRPr="009D4A60">
        <w:t>state variable.</w:t>
      </w:r>
      <w:r>
        <w:t xml:space="preserve"> This normalization allows various model state variables characterized by different units and </w:t>
      </w:r>
      <w:r>
        <w:lastRenderedPageBreak/>
        <w:t xml:space="preserve">different intrinsic variability to be quantitatively compared (e.g., Torn and Romine 2015). </w:t>
      </w:r>
      <w:r w:rsidRPr="00932D49">
        <w:t xml:space="preserve">Sensitivity </w:t>
      </w:r>
      <w:r>
        <w:t>is</w:t>
      </w:r>
      <w:r w:rsidRPr="00932D49">
        <w:t xml:space="preserve"> </w:t>
      </w:r>
      <w:r>
        <w:t xml:space="preserve">determined to be </w:t>
      </w:r>
      <w:r w:rsidRPr="00932D49">
        <w:t>statistically significant</w:t>
      </w:r>
      <w:r>
        <w:t xml:space="preserve"> at the 95% confidence level</w:t>
      </w:r>
      <w:r w:rsidRPr="00932D49">
        <w:t xml:space="preserve"> </w:t>
      </w:r>
      <w:r>
        <w:t>by following the methodology of</w:t>
      </w:r>
      <w:r w:rsidRPr="00932D49">
        <w:t xml:space="preserve"> Torn and Hakim (2008</w:t>
      </w:r>
      <w:r>
        <w:t>, section</w:t>
      </w:r>
      <w:r w:rsidR="009244EA">
        <w:t xml:space="preserve"> </w:t>
      </w:r>
      <w:r>
        <w:t>3</w:t>
      </w:r>
      <w:r w:rsidRPr="00932D49">
        <w:t>).</w:t>
      </w:r>
      <w:r w:rsidRPr="00F16897">
        <w:t xml:space="preserve"> </w:t>
      </w:r>
      <w:r>
        <w:t xml:space="preserve">This methodology consists of determining if the absolute value of </w:t>
      </w:r>
      <w:r w:rsidR="009876C7" w:rsidRPr="009876C7">
        <w:rPr>
          <w:i/>
          <w:iCs/>
        </w:rPr>
        <w:sym w:font="Symbol" w:char="F0B6"/>
      </w:r>
      <w:r w:rsidR="009876C7" w:rsidRPr="009876C7">
        <w:rPr>
          <w:i/>
          <w:iCs/>
        </w:rPr>
        <w:t>J/</w:t>
      </w:r>
      <w:r w:rsidR="009876C7" w:rsidRPr="009876C7">
        <w:rPr>
          <w:i/>
          <w:iCs/>
        </w:rPr>
        <w:sym w:font="Symbol" w:char="F0B6"/>
      </w:r>
      <w:r w:rsidR="009876C7" w:rsidRPr="009876C7">
        <w:rPr>
          <w:i/>
          <w:iCs/>
        </w:rPr>
        <w:t>x</w:t>
      </w:r>
      <w:r w:rsidR="009876C7" w:rsidRPr="009876C7">
        <w:rPr>
          <w:i/>
          <w:iCs/>
          <w:vertAlign w:val="subscript"/>
        </w:rPr>
        <w:t>i</w:t>
      </w:r>
      <w:r>
        <w:t xml:space="preserve"> is greater than its 95% confidence interval.</w:t>
      </w:r>
      <w:r w:rsidR="00D12DD4">
        <w:t xml:space="preserve"> </w:t>
      </w:r>
      <w:r w:rsidR="00472F9D">
        <w:t xml:space="preserve">The forecast metric chosen, hereafter referred to as </w:t>
      </w:r>
      <w:r w:rsidR="00472F9D" w:rsidRPr="00472F9D">
        <w:rPr>
          <w:i/>
          <w:iCs/>
        </w:rPr>
        <w:t>J</w:t>
      </w:r>
      <w:r w:rsidR="00472F9D" w:rsidRPr="00472F9D">
        <w:rPr>
          <w:i/>
          <w:iCs/>
          <w:vertAlign w:val="subscript"/>
        </w:rPr>
        <w:t>AC</w:t>
      </w:r>
      <w:r w:rsidR="00472F9D">
        <w:t>, is the minimum SLP of AC16 in the ensemble forecasts at 0000 UTC 15 August (120 h), as this metric is a proxy for the intensity error of AC16. Johnson and Wang (2021) conducted an ESA of an AC occurring during July 2018 and similarly used minimum SLP as a metric for the intensity error of the AC.</w:t>
      </w:r>
    </w:p>
    <w:p w14:paraId="14C19561" w14:textId="77777777" w:rsidR="00875C0D" w:rsidRPr="00970377" w:rsidRDefault="00875C0D" w:rsidP="00C305ED">
      <w:pPr>
        <w:pStyle w:val="ParagraphText"/>
        <w:ind w:firstLine="0"/>
      </w:pPr>
    </w:p>
    <w:p w14:paraId="2B03305A" w14:textId="45DB162A" w:rsidR="00B36F8E" w:rsidRPr="003E64F4" w:rsidRDefault="00F52648" w:rsidP="00B36F8E">
      <w:pPr>
        <w:pStyle w:val="H1"/>
        <w:rPr>
          <w:szCs w:val="24"/>
        </w:rPr>
      </w:pPr>
      <w:r w:rsidRPr="003E64F4">
        <w:rPr>
          <w:szCs w:val="24"/>
        </w:rPr>
        <w:t>3. Results</w:t>
      </w:r>
    </w:p>
    <w:p w14:paraId="3462C410" w14:textId="41F0F87B" w:rsidR="00B36F8E" w:rsidRPr="00B36F8E" w:rsidRDefault="00B36F8E" w:rsidP="00B36F8E">
      <w:pPr>
        <w:pStyle w:val="H2"/>
        <w:rPr>
          <w:szCs w:val="24"/>
        </w:rPr>
      </w:pPr>
      <w:r w:rsidRPr="00B36F8E">
        <w:rPr>
          <w:szCs w:val="24"/>
        </w:rPr>
        <w:t xml:space="preserve">a. </w:t>
      </w:r>
      <w:r w:rsidR="00875C0D">
        <w:rPr>
          <w:szCs w:val="24"/>
        </w:rPr>
        <w:t xml:space="preserve">AC-centered </w:t>
      </w:r>
      <w:r w:rsidR="00875C0D">
        <w:t xml:space="preserve">composites </w:t>
      </w:r>
      <w:r w:rsidR="007D3A2F">
        <w:t>for</w:t>
      </w:r>
      <w:r w:rsidR="00875C0D">
        <w:t xml:space="preserve"> strong low-skill ACs</w:t>
      </w:r>
    </w:p>
    <w:p w14:paraId="666E9D50" w14:textId="6F9954D6" w:rsidR="00C305ED" w:rsidRDefault="00DC0BCC" w:rsidP="00691A1B">
      <w:r>
        <w:t xml:space="preserve">The role of baroclinic processes in the evolution of the strong low-skill ACs is first examined. </w:t>
      </w:r>
      <w:r w:rsidRPr="007E2783">
        <w:t xml:space="preserve">Figure </w:t>
      </w:r>
      <w:r>
        <w:t>4a</w:t>
      </w:r>
      <w:r w:rsidRPr="007E2783">
        <w:t xml:space="preserve"> </w:t>
      </w:r>
      <w:r>
        <w:t>shows</w:t>
      </w:r>
      <w:r w:rsidRPr="007E2783">
        <w:t xml:space="preserve"> that </w:t>
      </w:r>
      <w:r>
        <w:t>the composite AC is located</w:t>
      </w:r>
      <w:r w:rsidRPr="007E2783">
        <w:t xml:space="preserve"> in </w:t>
      </w:r>
      <w:r>
        <w:t xml:space="preserve">a region of </w:t>
      </w:r>
      <w:r w:rsidRPr="007E2783">
        <w:t xml:space="preserve">strong </w:t>
      </w:r>
      <w:r>
        <w:t>lower-to-</w:t>
      </w:r>
      <w:proofErr w:type="spellStart"/>
      <w:r>
        <w:t>midtropospheric</w:t>
      </w:r>
      <w:proofErr w:type="spellEnd"/>
      <w:r>
        <w:t xml:space="preserve"> </w:t>
      </w:r>
      <w:r w:rsidRPr="007E2783">
        <w:t>baroclinicity</w:t>
      </w:r>
      <w:r>
        <w:t xml:space="preserve"> between a thickness through and ridge at</w:t>
      </w:r>
      <w:r w:rsidRPr="00DC0BCC">
        <w:t xml:space="preserve"> </w:t>
      </w:r>
      <w:r>
        <w:t>t</w:t>
      </w:r>
      <w:r w:rsidRPr="00271C44">
        <w:rPr>
          <w:vertAlign w:val="subscript"/>
        </w:rPr>
        <w:t>low</w:t>
      </w:r>
      <w:r>
        <w:t>−48 h. Corresponding to the region of strong lower-to-</w:t>
      </w:r>
      <w:proofErr w:type="spellStart"/>
      <w:r>
        <w:t>midtropospheric</w:t>
      </w:r>
      <w:proofErr w:type="spellEnd"/>
      <w:r>
        <w:t xml:space="preserve"> baroclinicity are dual upper-tropospheric jet streaks located to the southwest and northeast</w:t>
      </w:r>
      <w:r w:rsidR="009B64C2">
        <w:t xml:space="preserve"> of the composite AC</w:t>
      </w:r>
      <w:r>
        <w:t xml:space="preserve"> (Fig. 4a), </w:t>
      </w:r>
      <w:r w:rsidR="009B64C2">
        <w:t xml:space="preserve">which suggest that the composite AC </w:t>
      </w:r>
      <w:r w:rsidR="00402533">
        <w:t>may be</w:t>
      </w:r>
      <w:r w:rsidR="009B64C2">
        <w:t xml:space="preserve"> located in a region of lateral jet coupling, a </w:t>
      </w:r>
      <w:r>
        <w:t xml:space="preserve">favorable region for cyclone intensification (e.g., </w:t>
      </w:r>
      <w:proofErr w:type="spellStart"/>
      <w:r>
        <w:t>Uccellini</w:t>
      </w:r>
      <w:proofErr w:type="spellEnd"/>
      <w:r>
        <w:t xml:space="preserve"> and </w:t>
      </w:r>
      <w:proofErr w:type="spellStart"/>
      <w:r>
        <w:t>Kocin</w:t>
      </w:r>
      <w:proofErr w:type="spellEnd"/>
      <w:r>
        <w:t xml:space="preserve"> 1987). Tao et al. (2017b) similarly indicate that AC12</w:t>
      </w:r>
      <w:r w:rsidR="001B3E92">
        <w:t>, which is one of the strong low-skill ACs,</w:t>
      </w:r>
      <w:r>
        <w:t xml:space="preserve"> is located between two </w:t>
      </w:r>
      <w:r w:rsidR="00CA05C9">
        <w:t xml:space="preserve">upper-tropospheric </w:t>
      </w:r>
      <w:r>
        <w:t>jet streaks during a portion of the intensification phase of AC12, with one</w:t>
      </w:r>
      <w:r w:rsidR="00CA05C9">
        <w:t xml:space="preserve"> upper-tropospheric</w:t>
      </w:r>
      <w:r>
        <w:t xml:space="preserve"> jet streak located to the southwest of AC12 and another</w:t>
      </w:r>
      <w:r w:rsidR="00CA05C9">
        <w:t xml:space="preserve"> upper-tropospheric</w:t>
      </w:r>
      <w:r>
        <w:t xml:space="preserve"> jet streak located to the northeast of AC12. </w:t>
      </w:r>
    </w:p>
    <w:p w14:paraId="3AB29958" w14:textId="0D8A47C9" w:rsidR="00C305ED" w:rsidRDefault="00DC0BCC" w:rsidP="00691A1B">
      <w:r>
        <w:t>Between t</w:t>
      </w:r>
      <w:r w:rsidRPr="00271C44">
        <w:rPr>
          <w:vertAlign w:val="subscript"/>
        </w:rPr>
        <w:t>low</w:t>
      </w:r>
      <w:r>
        <w:t>−</w:t>
      </w:r>
      <w:r w:rsidR="004E1C8E">
        <w:t>36</w:t>
      </w:r>
      <w:r>
        <w:t xml:space="preserve"> h and t</w:t>
      </w:r>
      <w:r w:rsidRPr="00271C44">
        <w:rPr>
          <w:vertAlign w:val="subscript"/>
        </w:rPr>
        <w:t>low</w:t>
      </w:r>
      <w:r>
        <w:t>−12 h, the two</w:t>
      </w:r>
      <w:r w:rsidRPr="007E2783">
        <w:t xml:space="preserve"> jet streaks evolve into a </w:t>
      </w:r>
      <w:r>
        <w:t>cyclonically curved</w:t>
      </w:r>
      <w:r w:rsidRPr="007E2783">
        <w:t xml:space="preserve"> jet streak between </w:t>
      </w:r>
      <w:r>
        <w:t xml:space="preserve">the </w:t>
      </w:r>
      <w:r w:rsidRPr="007E2783">
        <w:t xml:space="preserve">thickness trough and </w:t>
      </w:r>
      <w:r>
        <w:t>ridge (Figs. 4</w:t>
      </w:r>
      <w:r w:rsidR="004E1C8E">
        <w:t>b</w:t>
      </w:r>
      <w:r>
        <w:t>–d)</w:t>
      </w:r>
      <w:r w:rsidR="001B3E92">
        <w:t>, with the composite AC continuing to be located in a region of strong lower-to-</w:t>
      </w:r>
      <w:proofErr w:type="spellStart"/>
      <w:r w:rsidR="001B3E92">
        <w:t>midtropospheric</w:t>
      </w:r>
      <w:proofErr w:type="spellEnd"/>
      <w:r w:rsidR="001B3E92">
        <w:t xml:space="preserve"> baroclinicity (Figs. 4</w:t>
      </w:r>
      <w:r w:rsidR="004E1C8E">
        <w:t>b</w:t>
      </w:r>
      <w:r w:rsidR="001B3E92">
        <w:t xml:space="preserve">–d). </w:t>
      </w:r>
      <w:r>
        <w:t>At t</w:t>
      </w:r>
      <w:r w:rsidRPr="00271C44">
        <w:rPr>
          <w:vertAlign w:val="subscript"/>
        </w:rPr>
        <w:t>low</w:t>
      </w:r>
      <w:r>
        <w:t xml:space="preserve">−12 h, the composite AC is located in the poleward exit region of the cyclonically curved jet streak (Fig. </w:t>
      </w:r>
      <w:r w:rsidR="001B3E92">
        <w:t>4</w:t>
      </w:r>
      <w:r>
        <w:t xml:space="preserve">d), a favorable region for continued intensification of the composite AC. Tao et al. (2017b) similarly </w:t>
      </w:r>
      <w:proofErr w:type="gramStart"/>
      <w:r>
        <w:t>show</w:t>
      </w:r>
      <w:proofErr w:type="gramEnd"/>
      <w:r>
        <w:t xml:space="preserve"> that the two</w:t>
      </w:r>
      <w:r w:rsidR="00CA05C9">
        <w:t xml:space="preserve"> upper-tropospheric</w:t>
      </w:r>
      <w:r>
        <w:t xml:space="preserve"> jet streaks influencing AC12 evolve into a cyclonically curved </w:t>
      </w:r>
      <w:r w:rsidR="00CA05C9">
        <w:t xml:space="preserve">upper-tropospheric </w:t>
      </w:r>
      <w:r>
        <w:t xml:space="preserve">jet streak, with AC12 becoming positioned in the poleward exit region of the cyclonically curved </w:t>
      </w:r>
      <w:r w:rsidR="00CA05C9">
        <w:t xml:space="preserve">upper-tropospheric </w:t>
      </w:r>
      <w:r>
        <w:t xml:space="preserve">jet streak. </w:t>
      </w:r>
      <w:r w:rsidR="001B3E92">
        <w:t>There are regions of</w:t>
      </w:r>
      <w:r w:rsidR="001B3E92" w:rsidRPr="00285325">
        <w:t xml:space="preserve"> </w:t>
      </w:r>
      <w:r w:rsidR="001B3E92">
        <w:t xml:space="preserve">relatively </w:t>
      </w:r>
      <w:r w:rsidR="001B3E92" w:rsidRPr="00285325">
        <w:t>large lower-to-</w:t>
      </w:r>
      <w:proofErr w:type="spellStart"/>
      <w:r w:rsidR="001B3E92" w:rsidRPr="00285325">
        <w:t>midtropospheric</w:t>
      </w:r>
      <w:proofErr w:type="spellEnd"/>
      <w:r w:rsidR="001B3E92">
        <w:t xml:space="preserve"> EGR</w:t>
      </w:r>
      <w:r w:rsidR="00867863">
        <w:t xml:space="preserve"> </w:t>
      </w:r>
      <w:r w:rsidR="001B3E92">
        <w:t xml:space="preserve">in </w:t>
      </w:r>
      <w:r w:rsidR="001B3E92">
        <w:lastRenderedPageBreak/>
        <w:t xml:space="preserve">the vicinity of the composite AC during </w:t>
      </w:r>
      <w:r w:rsidR="001B3E92" w:rsidRPr="00E578A1">
        <w:t>t</w:t>
      </w:r>
      <w:r w:rsidR="001B3E92" w:rsidRPr="00E578A1">
        <w:rPr>
          <w:vertAlign w:val="subscript"/>
        </w:rPr>
        <w:t>low</w:t>
      </w:r>
      <w:r w:rsidR="001B3E92" w:rsidRPr="00E578A1">
        <w:t xml:space="preserve">−48 h </w:t>
      </w:r>
      <w:r w:rsidR="001B3E92">
        <w:t>through</w:t>
      </w:r>
      <w:r w:rsidR="001B3E92" w:rsidRPr="00E578A1">
        <w:t xml:space="preserve"> t</w:t>
      </w:r>
      <w:r w:rsidR="001B3E92" w:rsidRPr="00E578A1">
        <w:rPr>
          <w:vertAlign w:val="subscript"/>
        </w:rPr>
        <w:t>low</w:t>
      </w:r>
      <w:r w:rsidR="001B3E92" w:rsidRPr="00E578A1">
        <w:t>−12 h</w:t>
      </w:r>
      <w:r w:rsidR="001B3E92">
        <w:t xml:space="preserve"> (Figs. 5a–d) that are associated with the region of</w:t>
      </w:r>
      <w:r w:rsidR="001B3E92" w:rsidRPr="00285325">
        <w:t xml:space="preserve"> strong lower-to-</w:t>
      </w:r>
      <w:proofErr w:type="spellStart"/>
      <w:r w:rsidR="001B3E92" w:rsidRPr="00285325">
        <w:t>midtropospheric</w:t>
      </w:r>
      <w:proofErr w:type="spellEnd"/>
      <w:r w:rsidR="001B3E92" w:rsidRPr="00285325">
        <w:t xml:space="preserve"> baroclinicity (Figs. </w:t>
      </w:r>
      <w:r w:rsidR="001B3E92">
        <w:t>4</w:t>
      </w:r>
      <w:r w:rsidR="001B3E92" w:rsidRPr="00285325">
        <w:t>a–d)</w:t>
      </w:r>
      <w:r w:rsidR="001B3E92">
        <w:t>.</w:t>
      </w:r>
      <w:r w:rsidR="00867863">
        <w:t xml:space="preserve"> </w:t>
      </w:r>
      <w:r w:rsidR="005B6B46" w:rsidRPr="00E76182">
        <w:t xml:space="preserve">Readers interested in documentation for the calculation of </w:t>
      </w:r>
      <w:r w:rsidR="005B6B46">
        <w:t>lower-to-</w:t>
      </w:r>
      <w:proofErr w:type="spellStart"/>
      <w:r w:rsidR="005B6B46">
        <w:t>midtropospheric</w:t>
      </w:r>
      <w:proofErr w:type="spellEnd"/>
      <w:r w:rsidR="005B6B46">
        <w:t xml:space="preserve"> </w:t>
      </w:r>
      <w:r w:rsidR="005B6B46" w:rsidRPr="00E76182">
        <w:t xml:space="preserve">EGR are referred </w:t>
      </w:r>
      <w:proofErr w:type="spellStart"/>
      <w:r w:rsidR="005B6B46" w:rsidRPr="00E76182">
        <w:t>Biernat</w:t>
      </w:r>
      <w:proofErr w:type="spellEnd"/>
      <w:r w:rsidR="005B6B46" w:rsidRPr="00E76182">
        <w:t xml:space="preserve"> et al. (2023, section 2c).</w:t>
      </w:r>
      <w:r w:rsidR="005B6B46">
        <w:t xml:space="preserve"> </w:t>
      </w:r>
      <w:r w:rsidR="001B3E92">
        <w:t xml:space="preserve">Figures 4a–d and Figs. 5a–d suggest that baroclinic processes likely play an important role in the intensification of the strong low-skill ACs. </w:t>
      </w:r>
      <w:r w:rsidR="00BD63A6">
        <w:t>Previous studies have also shown the</w:t>
      </w:r>
      <w:r w:rsidR="001B3E92">
        <w:t xml:space="preserve"> importance of baroclinic processes in the intensification of </w:t>
      </w:r>
      <w:r w:rsidR="00BD63A6">
        <w:t>AC12 (</w:t>
      </w:r>
      <w:r w:rsidR="001B3E92">
        <w:t xml:space="preserve">Simmonds and </w:t>
      </w:r>
      <w:proofErr w:type="spellStart"/>
      <w:r w:rsidR="001B3E92">
        <w:t>Rudeva</w:t>
      </w:r>
      <w:proofErr w:type="spellEnd"/>
      <w:r w:rsidR="00BD63A6">
        <w:t xml:space="preserve"> </w:t>
      </w:r>
      <w:r w:rsidR="001B3E92">
        <w:t>2012</w:t>
      </w:r>
      <w:r w:rsidR="00BD63A6">
        <w:t>;</w:t>
      </w:r>
      <w:r w:rsidR="00F15B7D">
        <w:t xml:space="preserve"> Yamazaki et al. 2015;</w:t>
      </w:r>
      <w:r w:rsidR="00BD63A6">
        <w:t xml:space="preserve"> </w:t>
      </w:r>
      <w:r w:rsidR="001B3E92">
        <w:t xml:space="preserve">Tao et al. 2017b) </w:t>
      </w:r>
      <w:r w:rsidR="00BD63A6">
        <w:t>and AC16 (</w:t>
      </w:r>
      <w:r w:rsidR="001B3E92">
        <w:t>Yamagami et al. 2017</w:t>
      </w:r>
      <w:r w:rsidR="00BD63A6">
        <w:t>;</w:t>
      </w:r>
      <w:r w:rsidR="001B3E92">
        <w:t xml:space="preserve"> Ban et al. 2023</w:t>
      </w:r>
      <w:r w:rsidR="00BD63A6">
        <w:t>;</w:t>
      </w:r>
      <w:r w:rsidR="001B3E92">
        <w:t xml:space="preserve"> Qian et al. 2023)</w:t>
      </w:r>
      <w:r w:rsidR="00BD63A6">
        <w:t>, which are two of the strong low-skill ACs</w:t>
      </w:r>
      <w:r w:rsidR="001B3E92">
        <w:t xml:space="preserve">. </w:t>
      </w:r>
      <w:r w:rsidR="000F0758">
        <w:t xml:space="preserve">Simmonds and </w:t>
      </w:r>
      <w:proofErr w:type="spellStart"/>
      <w:r w:rsidR="000F0758">
        <w:t>Rudeva</w:t>
      </w:r>
      <w:proofErr w:type="spellEnd"/>
      <w:r w:rsidR="000F0758">
        <w:t xml:space="preserve"> (2012) </w:t>
      </w:r>
      <w:r w:rsidR="003C2F5D">
        <w:t xml:space="preserve">similarly </w:t>
      </w:r>
      <w:r w:rsidR="000F0758">
        <w:t xml:space="preserve">show that there </w:t>
      </w:r>
      <w:r w:rsidR="003C2F5D">
        <w:t xml:space="preserve">is </w:t>
      </w:r>
      <w:r w:rsidR="000F0758">
        <w:t>relatively large EGR at 500-hPa in the vicinity of AC12</w:t>
      </w:r>
      <w:r w:rsidR="00DC6A36">
        <w:t xml:space="preserve">, </w:t>
      </w:r>
      <w:r w:rsidR="000F0758">
        <w:t xml:space="preserve">and Yamagami et al. (2017) </w:t>
      </w:r>
      <w:r w:rsidR="003C2F5D">
        <w:t xml:space="preserve">similarly </w:t>
      </w:r>
      <w:r w:rsidR="000F0758">
        <w:t>show that there is</w:t>
      </w:r>
      <w:r w:rsidR="001B3E92">
        <w:t xml:space="preserve"> relatively large </w:t>
      </w:r>
      <w:r w:rsidR="0043636A">
        <w:t>EGR</w:t>
      </w:r>
      <w:r w:rsidR="000F0758">
        <w:t xml:space="preserve"> at 700-hPa </w:t>
      </w:r>
      <w:r w:rsidR="001B3E92">
        <w:t xml:space="preserve">in the vicinity </w:t>
      </w:r>
      <w:r w:rsidR="000F0758">
        <w:t>of</w:t>
      </w:r>
      <w:r w:rsidR="001B3E92">
        <w:t xml:space="preserve"> AC16</w:t>
      </w:r>
      <w:r w:rsidR="00DC6A36">
        <w:t>,</w:t>
      </w:r>
      <w:r w:rsidR="000F0758">
        <w:t xml:space="preserve"> </w:t>
      </w:r>
      <w:r w:rsidR="001B3E92">
        <w:t>as</w:t>
      </w:r>
      <w:r w:rsidR="00DC6A36">
        <w:t xml:space="preserve"> these ACs</w:t>
      </w:r>
      <w:r w:rsidR="001B3E92">
        <w:t xml:space="preserve"> intensify.</w:t>
      </w:r>
    </w:p>
    <w:p w14:paraId="1A230471" w14:textId="2B6D4B95" w:rsidR="00DC0BCC" w:rsidRDefault="00DC0BCC" w:rsidP="001B3E92">
      <w:r>
        <w:t xml:space="preserve">At </w:t>
      </w:r>
      <w:proofErr w:type="spellStart"/>
      <w:r>
        <w:t>t</w:t>
      </w:r>
      <w:r w:rsidRPr="00271C44">
        <w:rPr>
          <w:vertAlign w:val="subscript"/>
        </w:rPr>
        <w:t>low</w:t>
      </w:r>
      <w:proofErr w:type="spellEnd"/>
      <w:r>
        <w:t xml:space="preserve"> and t</w:t>
      </w:r>
      <w:r w:rsidRPr="00271C44">
        <w:rPr>
          <w:vertAlign w:val="subscript"/>
        </w:rPr>
        <w:t>low</w:t>
      </w:r>
      <w:r>
        <w:t>+12 h, lower-to-</w:t>
      </w:r>
      <w:proofErr w:type="spellStart"/>
      <w:r>
        <w:t>midtropospheric</w:t>
      </w:r>
      <w:proofErr w:type="spellEnd"/>
      <w:r>
        <w:t xml:space="preserve"> baroclinicity weakens in the vicinity of the composite AC as the composite AC reaches peak intensity and begins to weaken (Figs. </w:t>
      </w:r>
      <w:r w:rsidR="001B3E92">
        <w:t>4</w:t>
      </w:r>
      <w:proofErr w:type="gramStart"/>
      <w:r>
        <w:t>e,f</w:t>
      </w:r>
      <w:proofErr w:type="gramEnd"/>
      <w:r>
        <w:t xml:space="preserve">). </w:t>
      </w:r>
      <w:r w:rsidR="00BD63A6">
        <w:t>T</w:t>
      </w:r>
      <w:r w:rsidR="00BD63A6" w:rsidRPr="00285325">
        <w:t>he warm sector of the composite A</w:t>
      </w:r>
      <w:r w:rsidR="00BD63A6">
        <w:t>C (Figs. 4</w:t>
      </w:r>
      <w:proofErr w:type="gramStart"/>
      <w:r w:rsidR="00BD63A6">
        <w:t>e,f</w:t>
      </w:r>
      <w:proofErr w:type="gramEnd"/>
      <w:r w:rsidR="00BD63A6">
        <w:t>)</w:t>
      </w:r>
      <w:r w:rsidR="00BD63A6" w:rsidRPr="00285325">
        <w:t xml:space="preserve"> </w:t>
      </w:r>
      <w:r w:rsidR="00BD63A6">
        <w:t>and</w:t>
      </w:r>
      <w:r w:rsidR="00BD63A6" w:rsidRPr="00285325">
        <w:t xml:space="preserve"> regions of relatively large lower-to-</w:t>
      </w:r>
      <w:proofErr w:type="spellStart"/>
      <w:r w:rsidR="00BD63A6" w:rsidRPr="00285325">
        <w:t>midtropospheric</w:t>
      </w:r>
      <w:proofErr w:type="spellEnd"/>
      <w:r w:rsidR="00BD63A6" w:rsidRPr="00285325">
        <w:t xml:space="preserve"> </w:t>
      </w:r>
      <w:r w:rsidR="00BD63A6">
        <w:t>EGR (Figs. 5e,f)</w:t>
      </w:r>
      <w:r w:rsidR="00BD63A6" w:rsidRPr="00285325">
        <w:t xml:space="preserve"> become increasingly separated from the composite AC center </w:t>
      </w:r>
      <w:r w:rsidR="00BD63A6">
        <w:t>during</w:t>
      </w:r>
      <w:r w:rsidR="00BD63A6" w:rsidRPr="00285325">
        <w:rPr>
          <w:i/>
          <w:iCs/>
        </w:rPr>
        <w:t xml:space="preserve"> </w:t>
      </w:r>
      <w:proofErr w:type="spellStart"/>
      <w:r w:rsidR="00BD63A6" w:rsidRPr="00285325">
        <w:t>t</w:t>
      </w:r>
      <w:r w:rsidR="00BD63A6" w:rsidRPr="00285325">
        <w:rPr>
          <w:vertAlign w:val="subscript"/>
        </w:rPr>
        <w:t>low</w:t>
      </w:r>
      <w:proofErr w:type="spellEnd"/>
      <w:r w:rsidR="00BD63A6" w:rsidRPr="00285325">
        <w:rPr>
          <w:vertAlign w:val="subscript"/>
        </w:rPr>
        <w:t xml:space="preserve"> </w:t>
      </w:r>
      <w:r w:rsidR="00BD63A6">
        <w:t>through</w:t>
      </w:r>
      <w:r w:rsidR="00BD63A6" w:rsidRPr="00285325">
        <w:t xml:space="preserve"> t</w:t>
      </w:r>
      <w:r w:rsidR="00BD63A6" w:rsidRPr="00285325">
        <w:rPr>
          <w:vertAlign w:val="subscript"/>
        </w:rPr>
        <w:t>low</w:t>
      </w:r>
      <w:r w:rsidR="00BD63A6" w:rsidRPr="00285325">
        <w:t xml:space="preserve">+12 h, suggesting that </w:t>
      </w:r>
      <w:r w:rsidR="00061CCE">
        <w:t xml:space="preserve">the </w:t>
      </w:r>
      <w:r w:rsidR="00BD63A6" w:rsidRPr="00285325">
        <w:t>strong low-skill ACs become occluded</w:t>
      </w:r>
      <w:r w:rsidR="00BD63A6">
        <w:t xml:space="preserve">. </w:t>
      </w:r>
      <w:r w:rsidR="00061CCE">
        <w:t xml:space="preserve">Simmonds and </w:t>
      </w:r>
      <w:proofErr w:type="spellStart"/>
      <w:r w:rsidR="00061CCE">
        <w:t>Rudeva</w:t>
      </w:r>
      <w:proofErr w:type="spellEnd"/>
      <w:r w:rsidR="00061CCE">
        <w:t xml:space="preserve"> (2012)</w:t>
      </w:r>
      <w:r w:rsidR="00DC6A36">
        <w:t xml:space="preserve"> </w:t>
      </w:r>
      <w:r w:rsidR="00061CCE">
        <w:t xml:space="preserve">similarly show </w:t>
      </w:r>
      <w:r w:rsidR="00DC6A36">
        <w:t xml:space="preserve">that there is a </w:t>
      </w:r>
      <w:r w:rsidR="00061CCE">
        <w:t xml:space="preserve">decrease in </w:t>
      </w:r>
      <w:r w:rsidR="0043636A">
        <w:t>EGR</w:t>
      </w:r>
      <w:r w:rsidR="00DC6A36">
        <w:t xml:space="preserve"> at 500-hPa in the vicinity of AC12, and Yamagami et al. (2017) similarly show that there is a decrease in EGR at 700-hPa in the vicinity of AC16, a</w:t>
      </w:r>
      <w:r w:rsidR="00F43E62">
        <w:t>round the time these</w:t>
      </w:r>
      <w:r w:rsidR="00061CCE">
        <w:t xml:space="preserve"> ACs reach peak intensity.</w:t>
      </w:r>
      <w:r w:rsidR="00AB25B9" w:rsidRPr="00AB25B9">
        <w:t xml:space="preserve"> </w:t>
      </w:r>
    </w:p>
    <w:p w14:paraId="221DB154" w14:textId="77777777" w:rsidR="0089070F" w:rsidRDefault="00563FB2" w:rsidP="00691A1B">
      <w:r>
        <w:t xml:space="preserve">TPVs have been shown to play an important role in the evolution of ACs </w:t>
      </w:r>
      <w:r w:rsidRPr="007A63F9">
        <w:t>(e.g.</w:t>
      </w:r>
      <w:r>
        <w:t xml:space="preserve">, Simmonds and </w:t>
      </w:r>
      <w:proofErr w:type="spellStart"/>
      <w:r>
        <w:t>Rudeva</w:t>
      </w:r>
      <w:proofErr w:type="spellEnd"/>
      <w:r>
        <w:t xml:space="preserve"> 2012</w:t>
      </w:r>
      <w:r w:rsidRPr="007A63F9">
        <w:t>; Tao et al. 2017</w:t>
      </w:r>
      <w:proofErr w:type="gramStart"/>
      <w:r w:rsidRPr="007A63F9">
        <w:t>a,b</w:t>
      </w:r>
      <w:proofErr w:type="gramEnd"/>
      <w:r>
        <w:t xml:space="preserve">; </w:t>
      </w:r>
      <w:r w:rsidR="00F42076">
        <w:t xml:space="preserve">Gray et al. 2021; </w:t>
      </w:r>
      <w:r w:rsidR="00906BF2">
        <w:t>Ban et al. 2023</w:t>
      </w:r>
      <w:r w:rsidRPr="007A63F9">
        <w:t>).</w:t>
      </w:r>
      <w:r>
        <w:t xml:space="preserve"> The role of TPVs </w:t>
      </w:r>
      <w:r w:rsidR="00906BF2">
        <w:t>in the</w:t>
      </w:r>
      <w:r>
        <w:t xml:space="preserve"> evolution of the strong low-skill ACs is now examined. </w:t>
      </w:r>
      <w:r w:rsidRPr="007E2783">
        <w:t xml:space="preserve">Figure </w:t>
      </w:r>
      <w:r w:rsidR="00906BF2">
        <w:t>6</w:t>
      </w:r>
      <w:r w:rsidRPr="007E2783">
        <w:t xml:space="preserve">a shows that </w:t>
      </w:r>
      <w:r w:rsidR="00E23C13">
        <w:t>there is an</w:t>
      </w:r>
      <w:r w:rsidR="00906BF2" w:rsidRPr="00C632E7">
        <w:t xml:space="preserve"> upper-tropospheric potential vorticity (PV) maximum</w:t>
      </w:r>
      <w:r w:rsidR="00E23C13">
        <w:t xml:space="preserve"> upstream of the composite AC</w:t>
      </w:r>
      <w:r w:rsidR="00906BF2">
        <w:t xml:space="preserve"> at </w:t>
      </w:r>
      <w:r w:rsidR="00906BF2" w:rsidRPr="005643E9">
        <w:t>t</w:t>
      </w:r>
      <w:r w:rsidR="00906BF2" w:rsidRPr="005643E9">
        <w:rPr>
          <w:vertAlign w:val="subscript"/>
        </w:rPr>
        <w:t>low</w:t>
      </w:r>
      <w:r w:rsidR="00906BF2" w:rsidRPr="005643E9">
        <w:t>−</w:t>
      </w:r>
      <w:r w:rsidR="00906BF2">
        <w:t>48</w:t>
      </w:r>
      <w:r w:rsidR="00906BF2" w:rsidRPr="005643E9">
        <w:t xml:space="preserve"> h</w:t>
      </w:r>
      <w:r w:rsidRPr="007E2783">
        <w:t>.</w:t>
      </w:r>
      <w:r w:rsidR="00E23C13">
        <w:t xml:space="preserve"> Figs. 6a also shows that there is another upper-tropospheric PV maximum northeast of the composite AC at </w:t>
      </w:r>
      <w:r w:rsidR="00E23C13" w:rsidRPr="005643E9">
        <w:t>t</w:t>
      </w:r>
      <w:r w:rsidR="00E23C13" w:rsidRPr="005643E9">
        <w:rPr>
          <w:vertAlign w:val="subscript"/>
        </w:rPr>
        <w:t>low</w:t>
      </w:r>
      <w:r w:rsidR="00E23C13" w:rsidRPr="005643E9">
        <w:t>−</w:t>
      </w:r>
      <w:r w:rsidR="00E23C13">
        <w:t>48</w:t>
      </w:r>
      <w:r w:rsidR="00E23C13" w:rsidRPr="005643E9">
        <w:t xml:space="preserve"> h</w:t>
      </w:r>
      <w:r w:rsidR="00E23C13">
        <w:t xml:space="preserve">. </w:t>
      </w:r>
      <w:r>
        <w:t>The upper-tropospheric PV</w:t>
      </w:r>
      <w:r w:rsidR="00906BF2">
        <w:t xml:space="preserve"> maxi</w:t>
      </w:r>
      <w:r w:rsidR="00E23C13">
        <w:t>ma</w:t>
      </w:r>
      <w:r>
        <w:t xml:space="preserve"> </w:t>
      </w:r>
      <w:r w:rsidR="00E23C13">
        <w:t>are</w:t>
      </w:r>
      <w:r>
        <w:t xml:space="preserve"> likely</w:t>
      </w:r>
      <w:r w:rsidR="00A678F3">
        <w:t xml:space="preserve"> </w:t>
      </w:r>
      <w:r>
        <w:t>signature of TPVs.</w:t>
      </w:r>
      <w:r w:rsidR="00E23C13">
        <w:t xml:space="preserve"> </w:t>
      </w:r>
      <w:r w:rsidR="007269BC">
        <w:t>Relatively large</w:t>
      </w:r>
      <w:r w:rsidR="00E23C13" w:rsidRPr="00E538DC">
        <w:t xml:space="preserve"> upper-tropospheric PV gradients </w:t>
      </w:r>
      <w:r w:rsidR="00E23C13">
        <w:t xml:space="preserve">are found </w:t>
      </w:r>
      <w:r w:rsidR="00E23C13" w:rsidRPr="00E538DC">
        <w:t xml:space="preserve">between an upper-tropospheric ridge downstream of </w:t>
      </w:r>
      <w:r w:rsidR="00E23C13">
        <w:t>the composite AC</w:t>
      </w:r>
      <w:r w:rsidR="00E23C13" w:rsidRPr="00E538DC">
        <w:t xml:space="preserve"> and the </w:t>
      </w:r>
      <w:r w:rsidR="00E23C13">
        <w:t>PV maxima</w:t>
      </w:r>
      <w:r w:rsidR="00E23C13" w:rsidRPr="00E538DC">
        <w:t xml:space="preserve"> </w:t>
      </w:r>
      <w:r w:rsidR="00E23C13">
        <w:t xml:space="preserve">upstream of the composite AC, and between the aforementioned </w:t>
      </w:r>
      <w:r w:rsidR="00E23C13" w:rsidRPr="00E538DC">
        <w:t>u</w:t>
      </w:r>
      <w:r w:rsidR="00E23C13">
        <w:t>pper-tropospheric ridge and the PV maximum northeast of the composite AC,</w:t>
      </w:r>
      <w:r w:rsidR="00E23C13" w:rsidRPr="00E538DC">
        <w:t xml:space="preserve"> </w:t>
      </w:r>
      <w:r w:rsidR="00E23C13">
        <w:t xml:space="preserve">at </w:t>
      </w:r>
      <w:r w:rsidR="00E23C13" w:rsidRPr="005643E9">
        <w:t>t</w:t>
      </w:r>
      <w:r w:rsidR="00E23C13" w:rsidRPr="005643E9">
        <w:rPr>
          <w:vertAlign w:val="subscript"/>
        </w:rPr>
        <w:t>low</w:t>
      </w:r>
      <w:r w:rsidR="00E23C13" w:rsidRPr="005643E9">
        <w:t>−</w:t>
      </w:r>
      <w:r w:rsidR="00E23C13">
        <w:t>48</w:t>
      </w:r>
      <w:r w:rsidR="00E23C13" w:rsidRPr="005643E9">
        <w:t xml:space="preserve"> h</w:t>
      </w:r>
      <w:r w:rsidR="00E23C13">
        <w:t xml:space="preserve"> (Fig. 6a).</w:t>
      </w:r>
      <w:r>
        <w:t xml:space="preserve"> </w:t>
      </w:r>
      <w:r w:rsidR="00A678F3">
        <w:t xml:space="preserve">The </w:t>
      </w:r>
      <w:r w:rsidR="007269BC">
        <w:t>relatively large</w:t>
      </w:r>
      <w:r w:rsidR="00A678F3">
        <w:t xml:space="preserve"> upper-tropospheric PV gradients are consistent with</w:t>
      </w:r>
      <w:r w:rsidR="00A678F3" w:rsidRPr="00E538DC">
        <w:t xml:space="preserve"> the</w:t>
      </w:r>
      <w:r w:rsidR="00A363E6">
        <w:t xml:space="preserve"> dual</w:t>
      </w:r>
      <w:r w:rsidR="00A678F3" w:rsidRPr="00E538DC">
        <w:t xml:space="preserve"> upper-tropospheric jet st</w:t>
      </w:r>
      <w:r w:rsidR="00A678F3">
        <w:t>reaks</w:t>
      </w:r>
      <w:r w:rsidR="00A678F3" w:rsidRPr="00E538DC">
        <w:t xml:space="preserve"> </w:t>
      </w:r>
      <w:r w:rsidR="00A678F3">
        <w:t xml:space="preserve">in the vicinity of </w:t>
      </w:r>
      <w:r w:rsidR="00F42076">
        <w:t>the composite AC</w:t>
      </w:r>
      <w:r w:rsidR="00A678F3">
        <w:t xml:space="preserve"> at </w:t>
      </w:r>
      <w:r w:rsidR="00A678F3" w:rsidRPr="005643E9">
        <w:t>t</w:t>
      </w:r>
      <w:r w:rsidR="00A678F3" w:rsidRPr="005643E9">
        <w:rPr>
          <w:vertAlign w:val="subscript"/>
        </w:rPr>
        <w:t>low</w:t>
      </w:r>
      <w:r w:rsidR="00A678F3" w:rsidRPr="005643E9">
        <w:t>−</w:t>
      </w:r>
      <w:r w:rsidR="00A678F3">
        <w:t>48</w:t>
      </w:r>
      <w:r w:rsidR="00A678F3" w:rsidRPr="005643E9">
        <w:t xml:space="preserve"> h</w:t>
      </w:r>
      <w:r w:rsidR="00A678F3">
        <w:t xml:space="preserve"> </w:t>
      </w:r>
      <w:r w:rsidR="00A678F3" w:rsidRPr="00E538DC">
        <w:t xml:space="preserve">(Fig. </w:t>
      </w:r>
      <w:r w:rsidR="00A678F3">
        <w:t>4a</w:t>
      </w:r>
      <w:r w:rsidR="00A678F3" w:rsidRPr="00E538DC">
        <w:t>)</w:t>
      </w:r>
      <w:r w:rsidR="00A678F3">
        <w:t xml:space="preserve"> that support the intensification of </w:t>
      </w:r>
      <w:r w:rsidR="00F42076">
        <w:t xml:space="preserve">the </w:t>
      </w:r>
      <w:r w:rsidR="00F42076">
        <w:lastRenderedPageBreak/>
        <w:t>strong low-skill ACs</w:t>
      </w:r>
      <w:r w:rsidR="00A678F3">
        <w:t xml:space="preserve"> via baroclinic processes</w:t>
      </w:r>
      <w:r w:rsidR="00A678F3" w:rsidRPr="00E538DC">
        <w:t>.</w:t>
      </w:r>
      <w:r w:rsidR="00A678F3">
        <w:t xml:space="preserve"> </w:t>
      </w:r>
      <w:r w:rsidR="00906BF2">
        <w:t>T</w:t>
      </w:r>
      <w:r w:rsidR="00906BF2" w:rsidRPr="005643E9">
        <w:t>he</w:t>
      </w:r>
      <w:r w:rsidR="00906BF2">
        <w:t xml:space="preserve"> upper-tropospheric</w:t>
      </w:r>
      <w:r w:rsidR="00906BF2" w:rsidRPr="005643E9">
        <w:t xml:space="preserve"> PV maximum</w:t>
      </w:r>
      <w:r w:rsidR="00A678F3">
        <w:t xml:space="preserve"> upstream of the composite AC</w:t>
      </w:r>
      <w:r w:rsidR="00906BF2" w:rsidRPr="005643E9">
        <w:t xml:space="preserve"> gradually approache</w:t>
      </w:r>
      <w:r w:rsidR="00906BF2">
        <w:t>s</w:t>
      </w:r>
      <w:r w:rsidR="00906BF2" w:rsidRPr="005643E9">
        <w:t xml:space="preserve"> the composite AC during t</w:t>
      </w:r>
      <w:r w:rsidR="00906BF2" w:rsidRPr="005643E9">
        <w:rPr>
          <w:vertAlign w:val="subscript"/>
        </w:rPr>
        <w:t>low</w:t>
      </w:r>
      <w:r w:rsidR="00906BF2" w:rsidRPr="005643E9">
        <w:t>−</w:t>
      </w:r>
      <w:r w:rsidR="00906BF2">
        <w:t>48</w:t>
      </w:r>
      <w:r w:rsidR="00906BF2" w:rsidRPr="005643E9">
        <w:t xml:space="preserve"> h through t</w:t>
      </w:r>
      <w:r w:rsidR="00906BF2" w:rsidRPr="005643E9">
        <w:rPr>
          <w:vertAlign w:val="subscript"/>
        </w:rPr>
        <w:t>low</w:t>
      </w:r>
      <w:r w:rsidR="00906BF2" w:rsidRPr="005643E9">
        <w:t>−12 h</w:t>
      </w:r>
      <w:r w:rsidR="00906BF2">
        <w:t xml:space="preserve"> (Figs. 6a–d)</w:t>
      </w:r>
      <w:r w:rsidR="00906BF2" w:rsidRPr="005643E9">
        <w:t>, suggesting that there is interaction between TPVs and the strong low-skill ACs.</w:t>
      </w:r>
      <w:r w:rsidR="0093492C" w:rsidRPr="0093492C">
        <w:t xml:space="preserve"> </w:t>
      </w:r>
      <w:r w:rsidR="0093492C">
        <w:t xml:space="preserve">Tao et al. (2017b) similarly show that a TPV interacting with AC12 approaches AC12 while AC12 intensifies. </w:t>
      </w:r>
    </w:p>
    <w:p w14:paraId="3B71E0F8" w14:textId="4F03FC2D" w:rsidR="0089070F" w:rsidRDefault="0093492C" w:rsidP="0089070F">
      <w:r>
        <w:t xml:space="preserve">The </w:t>
      </w:r>
      <w:r w:rsidRPr="00C632E7">
        <w:t>upper-tropospheric PV maximum</w:t>
      </w:r>
      <w:r w:rsidR="00FF784B">
        <w:t xml:space="preserve"> upstream of the composite AC</w:t>
      </w:r>
      <w:r>
        <w:t xml:space="preserve"> becomes positioned over the composite AC at </w:t>
      </w:r>
      <w:proofErr w:type="spellStart"/>
      <w:r w:rsidRPr="005643E9">
        <w:t>t</w:t>
      </w:r>
      <w:r w:rsidRPr="005643E9">
        <w:rPr>
          <w:vertAlign w:val="subscript"/>
        </w:rPr>
        <w:t>low</w:t>
      </w:r>
      <w:proofErr w:type="spellEnd"/>
      <w:r>
        <w:t xml:space="preserve"> and </w:t>
      </w:r>
      <w:r w:rsidRPr="005643E9">
        <w:t>t</w:t>
      </w:r>
      <w:r w:rsidRPr="005643E9">
        <w:rPr>
          <w:vertAlign w:val="subscript"/>
        </w:rPr>
        <w:t>low</w:t>
      </w:r>
      <w:r>
        <w:t>+</w:t>
      </w:r>
      <w:r w:rsidRPr="005643E9">
        <w:t>12 h</w:t>
      </w:r>
      <w:r>
        <w:t xml:space="preserve"> (Figs. 6</w:t>
      </w:r>
      <w:proofErr w:type="gramStart"/>
      <w:r>
        <w:t>e,f</w:t>
      </w:r>
      <w:proofErr w:type="gramEnd"/>
      <w:r>
        <w:t xml:space="preserve">), suggesting that TPVs become vertically superposed with the strong low-skill ACs. </w:t>
      </w:r>
      <w:r w:rsidR="00F15B7D">
        <w:t>Previous</w:t>
      </w:r>
      <w:r>
        <w:t xml:space="preserve"> studies similarly show that TPVs become vertically superposed with ACs while the ACs intensify and reach peak intensity </w:t>
      </w:r>
      <w:r w:rsidRPr="007A63F9">
        <w:t xml:space="preserve">(e.g., </w:t>
      </w:r>
      <w:r>
        <w:t xml:space="preserve">Aizawa et al. 2014; </w:t>
      </w:r>
      <w:r w:rsidRPr="007A63F9">
        <w:t>Aizawa and</w:t>
      </w:r>
      <w:r>
        <w:t xml:space="preserve"> Tanaka 2016; Tao et al. 2017</w:t>
      </w:r>
      <w:proofErr w:type="gramStart"/>
      <w:r>
        <w:t>a,b</w:t>
      </w:r>
      <w:proofErr w:type="gramEnd"/>
      <w:r w:rsidRPr="007A63F9">
        <w:t>; Yamagami et al. 2017</w:t>
      </w:r>
      <w:r w:rsidR="00FF784B">
        <w:t>; Ban et al. 2023</w:t>
      </w:r>
      <w:r w:rsidR="00E8664A">
        <w:t>; Qian et al. 2023</w:t>
      </w:r>
      <w:r w:rsidRPr="007A63F9">
        <w:t>).</w:t>
      </w:r>
      <w:r>
        <w:t xml:space="preserve"> </w:t>
      </w:r>
      <w:r w:rsidR="0089070F">
        <w:t xml:space="preserve">The vertical superposition of the TPVs and strong low-skill ACs suggest the strong low-skill ACs </w:t>
      </w:r>
      <w:r w:rsidR="00F15B7D">
        <w:t>are possibly</w:t>
      </w:r>
      <w:r w:rsidR="0089070F">
        <w:t xml:space="preserve"> </w:t>
      </w:r>
      <w:r w:rsidR="0089070F">
        <w:t>becom</w:t>
      </w:r>
      <w:r w:rsidR="0089070F">
        <w:t>ing more</w:t>
      </w:r>
      <w:r w:rsidR="0089070F">
        <w:t xml:space="preserve"> equivalent barotropic in structure. In addition, a 1000–500-hPa thickness minimum becomes closer to the center of the composite AC during</w:t>
      </w:r>
      <w:r w:rsidR="0089070F" w:rsidRPr="00285325">
        <w:rPr>
          <w:i/>
          <w:iCs/>
        </w:rPr>
        <w:t xml:space="preserve"> </w:t>
      </w:r>
      <w:proofErr w:type="spellStart"/>
      <w:r w:rsidR="0089070F" w:rsidRPr="00285325">
        <w:t>t</w:t>
      </w:r>
      <w:r w:rsidR="0089070F" w:rsidRPr="00285325">
        <w:rPr>
          <w:vertAlign w:val="subscript"/>
        </w:rPr>
        <w:t>low</w:t>
      </w:r>
      <w:proofErr w:type="spellEnd"/>
      <w:r w:rsidR="0089070F" w:rsidRPr="00285325">
        <w:rPr>
          <w:vertAlign w:val="subscript"/>
        </w:rPr>
        <w:t xml:space="preserve"> </w:t>
      </w:r>
      <w:r w:rsidR="0089070F">
        <w:t>through</w:t>
      </w:r>
      <w:r w:rsidR="0089070F" w:rsidRPr="00285325">
        <w:t xml:space="preserve"> t</w:t>
      </w:r>
      <w:r w:rsidR="0089070F" w:rsidRPr="00285325">
        <w:rPr>
          <w:vertAlign w:val="subscript"/>
        </w:rPr>
        <w:t>low</w:t>
      </w:r>
      <w:r w:rsidR="0089070F" w:rsidRPr="00285325">
        <w:t xml:space="preserve">+12 h </w:t>
      </w:r>
      <w:r w:rsidR="0089070F">
        <w:t>(Figs. 5</w:t>
      </w:r>
      <w:proofErr w:type="gramStart"/>
      <w:r w:rsidR="0089070F">
        <w:t>e,f</w:t>
      </w:r>
      <w:proofErr w:type="gramEnd"/>
      <w:r w:rsidR="0089070F">
        <w:t xml:space="preserve">), </w:t>
      </w:r>
      <w:r w:rsidR="0089070F">
        <w:t xml:space="preserve">further </w:t>
      </w:r>
      <w:r w:rsidR="0089070F">
        <w:t xml:space="preserve">suggesting that the strong low-skill ACs </w:t>
      </w:r>
      <w:r w:rsidR="00F15B7D">
        <w:t>are possibly</w:t>
      </w:r>
      <w:r w:rsidR="0089070F">
        <w:t xml:space="preserve"> becoming more</w:t>
      </w:r>
      <w:r w:rsidR="0089070F" w:rsidRPr="00285325">
        <w:t xml:space="preserve"> equivalent barotropic in structure.</w:t>
      </w:r>
      <w:r w:rsidR="0089070F">
        <w:t xml:space="preserve"> Several </w:t>
      </w:r>
      <w:r w:rsidR="0089070F">
        <w:t>previous studies describes ACs as</w:t>
      </w:r>
      <w:r w:rsidR="0089070F">
        <w:t xml:space="preserve"> becom</w:t>
      </w:r>
      <w:r w:rsidR="0089070F">
        <w:t>ing</w:t>
      </w:r>
      <w:r w:rsidR="00906CDD">
        <w:t xml:space="preserve"> </w:t>
      </w:r>
      <w:r w:rsidR="0089070F">
        <w:t xml:space="preserve">equivalent barotropic or barotropic in structure at or around the time the ACs reach peak intensity </w:t>
      </w:r>
      <w:r w:rsidR="0089070F" w:rsidRPr="007A63F9">
        <w:t xml:space="preserve">(e.g., </w:t>
      </w:r>
      <w:r w:rsidR="0089070F">
        <w:t>Tao et al. 2017</w:t>
      </w:r>
      <w:proofErr w:type="gramStart"/>
      <w:r w:rsidR="0089070F">
        <w:t>a,b</w:t>
      </w:r>
      <w:proofErr w:type="gramEnd"/>
      <w:r w:rsidR="0089070F" w:rsidRPr="007A63F9">
        <w:t>; Yamagami et al. 2017</w:t>
      </w:r>
      <w:r w:rsidR="0089070F">
        <w:t>; Ban et al. 2023</w:t>
      </w:r>
      <w:r w:rsidR="0089070F" w:rsidRPr="007A63F9">
        <w:t>)</w:t>
      </w:r>
      <w:r w:rsidR="0089070F">
        <w:t>.</w:t>
      </w:r>
      <w:r w:rsidR="0089070F">
        <w:t xml:space="preserve"> </w:t>
      </w:r>
      <w:proofErr w:type="spellStart"/>
      <w:r w:rsidR="0089070F">
        <w:t>Vessey</w:t>
      </w:r>
      <w:proofErr w:type="spellEnd"/>
      <w:r w:rsidR="0089070F">
        <w:t xml:space="preserve"> et al. (2022) conclude from a composite analysis of the 100 strongest ACs during</w:t>
      </w:r>
      <w:r w:rsidR="000A5267">
        <w:t xml:space="preserve"> the</w:t>
      </w:r>
      <w:r w:rsidR="0089070F">
        <w:t xml:space="preserve"> summer</w:t>
      </w:r>
      <w:r w:rsidR="000A5267">
        <w:t>s of 1979–2020 using ERA5</w:t>
      </w:r>
      <w:r w:rsidR="0089070F">
        <w:t xml:space="preserve"> that ACs transition from having a baroclinic structure to a</w:t>
      </w:r>
      <w:r w:rsidR="00906CDD">
        <w:t>n</w:t>
      </w:r>
      <w:r w:rsidR="0089070F">
        <w:t xml:space="preserve"> </w:t>
      </w:r>
      <w:proofErr w:type="spellStart"/>
      <w:r w:rsidR="0089070F">
        <w:t>axi</w:t>
      </w:r>
      <w:proofErr w:type="spellEnd"/>
      <w:r w:rsidR="0089070F">
        <w:t>-symmetric cold</w:t>
      </w:r>
      <w:r w:rsidR="005012A2">
        <w:t>-core structure throughout the troposphere</w:t>
      </w:r>
      <w:r w:rsidR="00893B52">
        <w:t>,</w:t>
      </w:r>
      <w:r w:rsidR="00906CDD">
        <w:t xml:space="preserve"> with a lowered troposphere above the ACs</w:t>
      </w:r>
      <w:r w:rsidR="00893B52">
        <w:t>,</w:t>
      </w:r>
      <w:r w:rsidR="005012A2">
        <w:t xml:space="preserve"> around the time the ACs reach peak intensity. The transition of the composite AC from being located in a region of strong lower-to-</w:t>
      </w:r>
      <w:proofErr w:type="spellStart"/>
      <w:r w:rsidR="005012A2">
        <w:t>midtropospheric</w:t>
      </w:r>
      <w:proofErr w:type="spellEnd"/>
      <w:r w:rsidR="005012A2">
        <w:t xml:space="preserve"> baroclinicity (Figs. 4a–d) downstream of the upstream upper-tropospheric PV maximum (Figs. 6a–d) during </w:t>
      </w:r>
      <w:r w:rsidR="005012A2" w:rsidRPr="00E578A1">
        <w:t>t</w:t>
      </w:r>
      <w:r w:rsidR="005012A2" w:rsidRPr="00E578A1">
        <w:rPr>
          <w:vertAlign w:val="subscript"/>
        </w:rPr>
        <w:t>low</w:t>
      </w:r>
      <w:r w:rsidR="005012A2" w:rsidRPr="00E578A1">
        <w:t xml:space="preserve">−48 h </w:t>
      </w:r>
      <w:r w:rsidR="005012A2">
        <w:t>through</w:t>
      </w:r>
      <w:r w:rsidR="005012A2" w:rsidRPr="00E578A1">
        <w:t xml:space="preserve"> t</w:t>
      </w:r>
      <w:r w:rsidR="005012A2" w:rsidRPr="00E578A1">
        <w:rPr>
          <w:vertAlign w:val="subscript"/>
        </w:rPr>
        <w:t>low</w:t>
      </w:r>
      <w:r w:rsidR="005012A2" w:rsidRPr="00E578A1">
        <w:t>−12 h</w:t>
      </w:r>
      <w:r w:rsidR="005012A2">
        <w:t xml:space="preserve"> to being located closer to the 1000–500-hPa minimum (Figs. 4e,f) and </w:t>
      </w:r>
      <w:r w:rsidR="005012A2">
        <w:t>beneath the upper-tropospheric PV</w:t>
      </w:r>
      <w:r w:rsidR="005012A2">
        <w:t xml:space="preserve"> maximum (Figs. 6e,f)</w:t>
      </w:r>
      <w:r w:rsidR="005012A2">
        <w:t xml:space="preserve"> </w:t>
      </w:r>
      <w:r w:rsidR="005012A2">
        <w:t xml:space="preserve">during </w:t>
      </w:r>
      <w:proofErr w:type="spellStart"/>
      <w:r w:rsidR="005012A2" w:rsidRPr="00285325">
        <w:t>t</w:t>
      </w:r>
      <w:r w:rsidR="005012A2" w:rsidRPr="00285325">
        <w:rPr>
          <w:vertAlign w:val="subscript"/>
        </w:rPr>
        <w:t>low</w:t>
      </w:r>
      <w:proofErr w:type="spellEnd"/>
      <w:r w:rsidR="005012A2" w:rsidRPr="00285325">
        <w:rPr>
          <w:vertAlign w:val="subscript"/>
        </w:rPr>
        <w:t xml:space="preserve"> </w:t>
      </w:r>
      <w:r w:rsidR="005012A2">
        <w:t>through</w:t>
      </w:r>
      <w:r w:rsidR="005012A2" w:rsidRPr="00285325">
        <w:t xml:space="preserve"> t</w:t>
      </w:r>
      <w:r w:rsidR="005012A2" w:rsidRPr="00285325">
        <w:rPr>
          <w:vertAlign w:val="subscript"/>
        </w:rPr>
        <w:t>low</w:t>
      </w:r>
      <w:r w:rsidR="005012A2" w:rsidRPr="00285325">
        <w:t>+12 h</w:t>
      </w:r>
      <w:r w:rsidR="005012A2">
        <w:t xml:space="preserve"> </w:t>
      </w:r>
      <w:r w:rsidR="00781F16">
        <w:t xml:space="preserve">may </w:t>
      </w:r>
      <w:r w:rsidR="005012A2">
        <w:t>similarly suggest a transition of the strong</w:t>
      </w:r>
      <w:r w:rsidR="000A5267">
        <w:t xml:space="preserve"> </w:t>
      </w:r>
      <w:r w:rsidR="005012A2">
        <w:t>low</w:t>
      </w:r>
      <w:r w:rsidR="000A5267">
        <w:t>-</w:t>
      </w:r>
      <w:r w:rsidR="005012A2">
        <w:t xml:space="preserve">skill ACs from having a baroclinic structure to a more </w:t>
      </w:r>
      <w:proofErr w:type="spellStart"/>
      <w:r w:rsidR="005012A2">
        <w:t>axi</w:t>
      </w:r>
      <w:proofErr w:type="spellEnd"/>
      <w:r w:rsidR="005012A2">
        <w:t>-symmetric cold-core structure throughout the troposphere</w:t>
      </w:r>
      <w:r w:rsidR="000A5267">
        <w:t>.</w:t>
      </w:r>
    </w:p>
    <w:p w14:paraId="0AD1AE3E" w14:textId="600D3528" w:rsidR="00C305ED" w:rsidRDefault="002423B2" w:rsidP="00691A1B">
      <w:r>
        <w:t>The role of latent heating in the evolution of the strong low-skill ACs is lastly examined. Figures 6a–d show that there are regions</w:t>
      </w:r>
      <w:r w:rsidRPr="007E2783">
        <w:t xml:space="preserve"> </w:t>
      </w:r>
      <w:r>
        <w:t xml:space="preserve">of </w:t>
      </w:r>
      <w:r w:rsidRPr="007E2783">
        <w:t>lower</w:t>
      </w:r>
      <w:r>
        <w:t>-to-</w:t>
      </w:r>
      <w:proofErr w:type="spellStart"/>
      <w:r>
        <w:t>midtropospheric</w:t>
      </w:r>
      <w:proofErr w:type="spellEnd"/>
      <w:r>
        <w:t xml:space="preserve"> ascent, </w:t>
      </w:r>
      <w:r w:rsidRPr="007E2783">
        <w:t>u</w:t>
      </w:r>
      <w:r>
        <w:t>pper-tropospheric divergence, and upper-tropospheric</w:t>
      </w:r>
      <w:r w:rsidRPr="007E2783">
        <w:t xml:space="preserve"> irrotational outflow in the immediate vicinity of the composite AC</w:t>
      </w:r>
      <w:r>
        <w:t xml:space="preserve"> during</w:t>
      </w:r>
      <w:r w:rsidRPr="00A81DD1">
        <w:t xml:space="preserve"> </w:t>
      </w:r>
      <w:r>
        <w:t>t</w:t>
      </w:r>
      <w:r w:rsidRPr="00C10F96">
        <w:rPr>
          <w:vertAlign w:val="subscript"/>
        </w:rPr>
        <w:t>low</w:t>
      </w:r>
      <w:r>
        <w:t>−48 h</w:t>
      </w:r>
      <w:r w:rsidRPr="007E2783">
        <w:t xml:space="preserve"> </w:t>
      </w:r>
      <w:r>
        <w:t>through t</w:t>
      </w:r>
      <w:r w:rsidRPr="004702B0">
        <w:rPr>
          <w:vertAlign w:val="subscript"/>
        </w:rPr>
        <w:t>low</w:t>
      </w:r>
      <w:r>
        <w:t>−12 h.</w:t>
      </w:r>
      <w:r w:rsidR="00B564A3">
        <w:t xml:space="preserve"> </w:t>
      </w:r>
      <w:r w:rsidR="00351351">
        <w:t xml:space="preserve">The </w:t>
      </w:r>
      <w:r>
        <w:t>regions of lower-to-</w:t>
      </w:r>
      <w:proofErr w:type="spellStart"/>
      <w:r>
        <w:lastRenderedPageBreak/>
        <w:t>midtropospheric</w:t>
      </w:r>
      <w:proofErr w:type="spellEnd"/>
      <w:r>
        <w:t xml:space="preserve"> ascent, upper-tropospheric divergence, and upper-tropospheric irrotational outflow </w:t>
      </w:r>
      <w:r w:rsidR="00615879">
        <w:t>during</w:t>
      </w:r>
      <w:r w:rsidR="00615879" w:rsidRPr="00A81DD1">
        <w:t xml:space="preserve"> </w:t>
      </w:r>
      <w:r w:rsidR="00615879">
        <w:t>t</w:t>
      </w:r>
      <w:r w:rsidR="00615879" w:rsidRPr="00C10F96">
        <w:rPr>
          <w:vertAlign w:val="subscript"/>
        </w:rPr>
        <w:t>low</w:t>
      </w:r>
      <w:r w:rsidR="00615879">
        <w:t>−48 h</w:t>
      </w:r>
      <w:r w:rsidR="00615879" w:rsidRPr="007E2783">
        <w:t xml:space="preserve"> </w:t>
      </w:r>
      <w:r w:rsidR="00615879">
        <w:t>through t</w:t>
      </w:r>
      <w:r w:rsidR="00615879" w:rsidRPr="004702B0">
        <w:rPr>
          <w:vertAlign w:val="subscript"/>
        </w:rPr>
        <w:t>low</w:t>
      </w:r>
      <w:r w:rsidR="00615879">
        <w:t xml:space="preserve">−12 h </w:t>
      </w:r>
      <w:r>
        <w:t xml:space="preserve">(Figs. 6a–d) are </w:t>
      </w:r>
      <w:r w:rsidR="00615879">
        <w:t xml:space="preserve">also </w:t>
      </w:r>
      <w:r>
        <w:t xml:space="preserve">found in the suggested region of </w:t>
      </w:r>
      <w:r w:rsidR="00402533">
        <w:t>lateral</w:t>
      </w:r>
      <w:r>
        <w:t xml:space="preserve"> jet coupling at</w:t>
      </w:r>
      <w:r w:rsidRPr="003948F2">
        <w:t xml:space="preserve"> </w:t>
      </w:r>
      <w:r>
        <w:t>t</w:t>
      </w:r>
      <w:r w:rsidRPr="00C10F96">
        <w:rPr>
          <w:vertAlign w:val="subscript"/>
        </w:rPr>
        <w:t>low</w:t>
      </w:r>
      <w:r>
        <w:t>−48 h (Fig. 4a), and in and near the poleward exit region of a cyclonically curved upper-tropospheric jet streak during t</w:t>
      </w:r>
      <w:r w:rsidRPr="00C10F96">
        <w:rPr>
          <w:vertAlign w:val="subscript"/>
        </w:rPr>
        <w:t>low</w:t>
      </w:r>
      <w:r>
        <w:t>−36 h</w:t>
      </w:r>
      <w:r w:rsidRPr="007E2783">
        <w:t xml:space="preserve"> </w:t>
      </w:r>
      <w:r>
        <w:t>through t</w:t>
      </w:r>
      <w:r w:rsidRPr="004702B0">
        <w:rPr>
          <w:vertAlign w:val="subscript"/>
        </w:rPr>
        <w:t>low</w:t>
      </w:r>
      <w:r>
        <w:t xml:space="preserve">−12 h (Figs. 4b–d). A well-defined </w:t>
      </w:r>
      <w:r w:rsidR="00542282">
        <w:t>integrated water vapor transport</w:t>
      </w:r>
      <w:r w:rsidR="00542282" w:rsidRPr="002D4298">
        <w:t xml:space="preserve"> </w:t>
      </w:r>
      <w:r w:rsidR="00542282">
        <w:t>(</w:t>
      </w:r>
      <w:r w:rsidR="00542282" w:rsidRPr="002D4298">
        <w:t>IVT</w:t>
      </w:r>
      <w:r w:rsidR="00542282">
        <w:t>)</w:t>
      </w:r>
      <w:r w:rsidR="00542282" w:rsidRPr="002D4298">
        <w:t xml:space="preserve"> </w:t>
      </w:r>
      <w:r>
        <w:t xml:space="preserve">corridor also gradually wraps cyclonically from the southern to </w:t>
      </w:r>
      <w:r w:rsidR="00542282">
        <w:t xml:space="preserve">the </w:t>
      </w:r>
      <w:r>
        <w:t>north</w:t>
      </w:r>
      <w:r w:rsidR="00542282">
        <w:t>easter</w:t>
      </w:r>
      <w:r w:rsidR="00C820AC">
        <w:t>n</w:t>
      </w:r>
      <w:r>
        <w:t xml:space="preserve"> flank of the composite AC during t</w:t>
      </w:r>
      <w:r w:rsidRPr="00C10F96">
        <w:rPr>
          <w:vertAlign w:val="subscript"/>
        </w:rPr>
        <w:t>low</w:t>
      </w:r>
      <w:r>
        <w:t>−48 h</w:t>
      </w:r>
      <w:r w:rsidRPr="007E2783">
        <w:t xml:space="preserve"> </w:t>
      </w:r>
      <w:r>
        <w:t>through t</w:t>
      </w:r>
      <w:r w:rsidRPr="004702B0">
        <w:rPr>
          <w:vertAlign w:val="subscript"/>
        </w:rPr>
        <w:t>low</w:t>
      </w:r>
      <w:r>
        <w:t xml:space="preserve">−12 h (Figs. </w:t>
      </w:r>
      <w:r w:rsidR="00542282">
        <w:t>7</w:t>
      </w:r>
      <w:r>
        <w:t xml:space="preserve">a–d). The IVT corridor may be a manifestation of </w:t>
      </w:r>
      <w:r w:rsidR="00183374">
        <w:t>warm conveyor belts (WCBs)</w:t>
      </w:r>
      <w:r>
        <w:t xml:space="preserve"> and/or </w:t>
      </w:r>
      <w:r w:rsidR="00542282">
        <w:t xml:space="preserve">atmospheric rivers </w:t>
      </w:r>
      <w:r>
        <w:t xml:space="preserve">associated with the strong low-skill ACs. </w:t>
      </w:r>
      <w:r w:rsidRPr="007E2783">
        <w:t>There is an abrupt decrease</w:t>
      </w:r>
      <w:r>
        <w:t xml:space="preserve"> in IVT</w:t>
      </w:r>
      <w:r w:rsidRPr="007E2783">
        <w:t xml:space="preserve"> just northeast of the composite AC center</w:t>
      </w:r>
      <w:r>
        <w:t xml:space="preserve"> during t</w:t>
      </w:r>
      <w:r w:rsidRPr="00C10F96">
        <w:rPr>
          <w:vertAlign w:val="subscript"/>
        </w:rPr>
        <w:t>low</w:t>
      </w:r>
      <w:r>
        <w:t>−48 h</w:t>
      </w:r>
      <w:r w:rsidRPr="007E2783">
        <w:t xml:space="preserve"> </w:t>
      </w:r>
      <w:r>
        <w:t>through t</w:t>
      </w:r>
      <w:r w:rsidRPr="004702B0">
        <w:rPr>
          <w:vertAlign w:val="subscript"/>
        </w:rPr>
        <w:t>low</w:t>
      </w:r>
      <w:r>
        <w:t xml:space="preserve">−12 h (Figs. </w:t>
      </w:r>
      <w:r w:rsidR="00542282">
        <w:t>7</w:t>
      </w:r>
      <w:r>
        <w:t>a–d) that corresponds to a well-defined region of</w:t>
      </w:r>
      <w:r w:rsidR="005B6B46">
        <w:t xml:space="preserve"> integrated horizontal moisture flux convergence</w:t>
      </w:r>
      <w:r>
        <w:t xml:space="preserve"> </w:t>
      </w:r>
      <w:r w:rsidR="005B6B46">
        <w:t>(</w:t>
      </w:r>
      <w:r>
        <w:t>IMFC</w:t>
      </w:r>
      <w:r w:rsidR="005B6B46">
        <w:t>)</w:t>
      </w:r>
      <w:r>
        <w:t xml:space="preserve"> (Figs. </w:t>
      </w:r>
      <w:r w:rsidR="00542282">
        <w:t>7</w:t>
      </w:r>
      <w:r>
        <w:t>a–d).</w:t>
      </w:r>
      <w:r w:rsidR="005B6B46">
        <w:t xml:space="preserve"> As discussed in </w:t>
      </w:r>
      <w:proofErr w:type="spellStart"/>
      <w:r w:rsidR="005B6B46">
        <w:t>Biernat</w:t>
      </w:r>
      <w:proofErr w:type="spellEnd"/>
      <w:r w:rsidR="005B6B46">
        <w:t xml:space="preserve"> et al. (2023, section 2c), positive values of IMFC are used as a proxy for latent heating (e.g., Torn and Hakim 2015). </w:t>
      </w:r>
      <w:r w:rsidR="007D2161">
        <w:t>T</w:t>
      </w:r>
      <w:r>
        <w:t>he</w:t>
      </w:r>
      <w:r w:rsidR="007D2161">
        <w:t xml:space="preserve"> well-defined</w:t>
      </w:r>
      <w:r>
        <w:t xml:space="preserve"> region of IMFC </w:t>
      </w:r>
      <w:r w:rsidR="007D2161">
        <w:t>during t</w:t>
      </w:r>
      <w:r w:rsidR="007D2161" w:rsidRPr="00C10F96">
        <w:rPr>
          <w:vertAlign w:val="subscript"/>
        </w:rPr>
        <w:t>low</w:t>
      </w:r>
      <w:r w:rsidR="007D2161">
        <w:t>−48 h</w:t>
      </w:r>
      <w:r w:rsidR="007D2161" w:rsidRPr="007E2783">
        <w:t xml:space="preserve"> </w:t>
      </w:r>
      <w:r w:rsidR="007D2161">
        <w:t>through t</w:t>
      </w:r>
      <w:r w:rsidR="007D2161" w:rsidRPr="004702B0">
        <w:rPr>
          <w:vertAlign w:val="subscript"/>
        </w:rPr>
        <w:t>low</w:t>
      </w:r>
      <w:r w:rsidR="007D2161">
        <w:t xml:space="preserve">−12 h (Figs. 7a–d) thus </w:t>
      </w:r>
      <w:r>
        <w:t>implies that latent heating is occurring in the vicinity of the strong low-skill ACs and is likely contributing to the intensification of the strong low-skill ACs. The regions of lower-to-</w:t>
      </w:r>
      <w:proofErr w:type="spellStart"/>
      <w:r>
        <w:t>midtropospheric</w:t>
      </w:r>
      <w:proofErr w:type="spellEnd"/>
      <w:r>
        <w:t xml:space="preserve"> ascent, upper-tropospheric divergence, and upper-tropospheric irrotational outflow during t</w:t>
      </w:r>
      <w:r w:rsidRPr="00C10F96">
        <w:rPr>
          <w:vertAlign w:val="subscript"/>
        </w:rPr>
        <w:t>low</w:t>
      </w:r>
      <w:r>
        <w:t>−48 h</w:t>
      </w:r>
      <w:r w:rsidRPr="007E2783">
        <w:t xml:space="preserve"> </w:t>
      </w:r>
      <w:r>
        <w:t>through t</w:t>
      </w:r>
      <w:r w:rsidRPr="004702B0">
        <w:rPr>
          <w:vertAlign w:val="subscript"/>
        </w:rPr>
        <w:t>low</w:t>
      </w:r>
      <w:r>
        <w:t xml:space="preserve">−12 h (Figs. </w:t>
      </w:r>
      <w:r w:rsidR="00EC4389">
        <w:t>6</w:t>
      </w:r>
      <w:r>
        <w:t>a–d) are likely signatures of the latent heating. During</w:t>
      </w:r>
      <w:r w:rsidRPr="001B4D3A">
        <w:t xml:space="preserve"> </w:t>
      </w:r>
      <w:proofErr w:type="spellStart"/>
      <w:r>
        <w:t>t</w:t>
      </w:r>
      <w:r w:rsidRPr="004702B0">
        <w:rPr>
          <w:vertAlign w:val="subscript"/>
        </w:rPr>
        <w:t>low</w:t>
      </w:r>
      <w:proofErr w:type="spellEnd"/>
      <w:r>
        <w:t xml:space="preserve"> through t</w:t>
      </w:r>
      <w:r w:rsidRPr="004702B0">
        <w:rPr>
          <w:vertAlign w:val="subscript"/>
        </w:rPr>
        <w:t>low</w:t>
      </w:r>
      <w:r>
        <w:t xml:space="preserve">+12 h, the IVT corridor wraps around the composite AC (Figs. </w:t>
      </w:r>
      <w:r w:rsidR="00EC4389">
        <w:t>7</w:t>
      </w:r>
      <w:proofErr w:type="gramStart"/>
      <w:r>
        <w:t>e,f</w:t>
      </w:r>
      <w:proofErr w:type="gramEnd"/>
      <w:r>
        <w:t xml:space="preserve">), with the magnitudes of IVT and IMFC decreasing substantially (Figs. </w:t>
      </w:r>
      <w:r w:rsidR="00EC4389">
        <w:t>7</w:t>
      </w:r>
      <w:r>
        <w:t xml:space="preserve">e,f) as the composite AC reaches peak intensity and begins to weaken. </w:t>
      </w:r>
    </w:p>
    <w:p w14:paraId="27857756" w14:textId="3244D809" w:rsidR="00170A72" w:rsidRPr="00883784" w:rsidRDefault="00C305ED" w:rsidP="00E42819">
      <w:r>
        <w:t>The composite analysis for the strong low-skill ACs suggests that these ACs interact with TPVs in a region of strong lower-to-</w:t>
      </w:r>
      <w:proofErr w:type="spellStart"/>
      <w:r>
        <w:t>midtropospheric</w:t>
      </w:r>
      <w:proofErr w:type="spellEnd"/>
      <w:r>
        <w:t xml:space="preserve"> baroclinicity and relatively large lower-to-</w:t>
      </w:r>
      <w:proofErr w:type="spellStart"/>
      <w:r>
        <w:t>midtropospheric</w:t>
      </w:r>
      <w:proofErr w:type="spellEnd"/>
      <w:r>
        <w:t xml:space="preserve"> EGR, and that these ACs are associated with a well-defined IVT corridor and a well-defined region of IMFC that implies latent heating. The composite analysis for the strong low-skill ACs suggests that </w:t>
      </w:r>
      <w:r w:rsidR="00B8601B">
        <w:t>TPVs,</w:t>
      </w:r>
      <w:r>
        <w:t xml:space="preserve"> TPV–AC interactions, baroclinic processes, and latent heating </w:t>
      </w:r>
      <w:r w:rsidR="00B8601B">
        <w:t>influence the evolution of</w:t>
      </w:r>
      <w:r>
        <w:t xml:space="preserve"> these ACs.</w:t>
      </w:r>
      <w:r w:rsidR="00C2162E">
        <w:t xml:space="preserve"> The rest of the present study will focus on examining features and processes influencing the evolution and forecast skill of the intensity of AC16, which is a </w:t>
      </w:r>
      <w:r w:rsidR="00B8601B">
        <w:t>selected</w:t>
      </w:r>
      <w:r w:rsidR="00C2162E">
        <w:t xml:space="preserve"> strong low-skill AC.</w:t>
      </w:r>
    </w:p>
    <w:p w14:paraId="2B151FC6" w14:textId="12FA4829" w:rsidR="00F52648" w:rsidRPr="00B36F8E" w:rsidRDefault="00F52648" w:rsidP="00F52648">
      <w:pPr>
        <w:pStyle w:val="H2"/>
        <w:rPr>
          <w:szCs w:val="24"/>
        </w:rPr>
      </w:pPr>
      <w:r>
        <w:rPr>
          <w:szCs w:val="24"/>
        </w:rPr>
        <w:t>b</w:t>
      </w:r>
      <w:r w:rsidRPr="00B36F8E">
        <w:rPr>
          <w:szCs w:val="24"/>
        </w:rPr>
        <w:t xml:space="preserve">. </w:t>
      </w:r>
      <w:r w:rsidR="00911679">
        <w:t>ERA5</w:t>
      </w:r>
      <w:r w:rsidR="00911679" w:rsidRPr="00911679">
        <w:rPr>
          <w:iCs/>
        </w:rPr>
        <w:t xml:space="preserve"> </w:t>
      </w:r>
      <w:r w:rsidR="00911679">
        <w:rPr>
          <w:iCs/>
        </w:rPr>
        <w:t>s</w:t>
      </w:r>
      <w:r w:rsidR="00911679" w:rsidRPr="00E418B6">
        <w:rPr>
          <w:iCs/>
        </w:rPr>
        <w:t>ynoptic-</w:t>
      </w:r>
      <w:r w:rsidR="00911679">
        <w:rPr>
          <w:iCs/>
        </w:rPr>
        <w:t>d</w:t>
      </w:r>
      <w:r w:rsidR="00911679" w:rsidRPr="00E418B6">
        <w:rPr>
          <w:iCs/>
        </w:rPr>
        <w:t xml:space="preserve">ynamic </w:t>
      </w:r>
      <w:r w:rsidR="009A6EE8">
        <w:rPr>
          <w:iCs/>
        </w:rPr>
        <w:t>analysis</w:t>
      </w:r>
      <w:r w:rsidR="00911679" w:rsidRPr="00E418B6">
        <w:rPr>
          <w:iCs/>
        </w:rPr>
        <w:t xml:space="preserve"> of AC16</w:t>
      </w:r>
    </w:p>
    <w:p w14:paraId="6D6D6545" w14:textId="15238D1A" w:rsidR="003D1DD8" w:rsidRDefault="00C2162E" w:rsidP="00911679">
      <w:pPr>
        <w:pStyle w:val="ParagraphText"/>
        <w:rPr>
          <w:iCs/>
        </w:rPr>
      </w:pPr>
      <w:r>
        <w:t xml:space="preserve">The role of baroclinic processes in the evolution of AC16 is first examined. </w:t>
      </w:r>
      <w:r w:rsidR="009F45F3">
        <w:t>A</w:t>
      </w:r>
      <w:r w:rsidR="009F45F3" w:rsidRPr="00866DF7">
        <w:rPr>
          <w:iCs/>
        </w:rPr>
        <w:t>t 0000 UTC 14 August, AC16 intensifies in a region of strong lower-to-</w:t>
      </w:r>
      <w:proofErr w:type="spellStart"/>
      <w:r w:rsidR="009F45F3" w:rsidRPr="00866DF7">
        <w:rPr>
          <w:iCs/>
        </w:rPr>
        <w:t>midtropospheric</w:t>
      </w:r>
      <w:proofErr w:type="spellEnd"/>
      <w:r w:rsidR="009F45F3" w:rsidRPr="00866DF7">
        <w:rPr>
          <w:iCs/>
        </w:rPr>
        <w:t xml:space="preserve"> baroclinicity between a thickness trough and rid</w:t>
      </w:r>
      <w:r w:rsidR="009F45F3">
        <w:rPr>
          <w:iCs/>
        </w:rPr>
        <w:t>g</w:t>
      </w:r>
      <w:r w:rsidR="009F45F3" w:rsidRPr="00866DF7">
        <w:rPr>
          <w:iCs/>
        </w:rPr>
        <w:t xml:space="preserve">e, and in an apparent region of </w:t>
      </w:r>
      <w:r w:rsidR="00FC3981">
        <w:rPr>
          <w:iCs/>
        </w:rPr>
        <w:t>lateral</w:t>
      </w:r>
      <w:r w:rsidR="009F45F3" w:rsidRPr="00866DF7">
        <w:rPr>
          <w:iCs/>
        </w:rPr>
        <w:t xml:space="preserve"> jet coupling </w:t>
      </w:r>
      <w:r w:rsidR="009F45F3" w:rsidRPr="00866DF7">
        <w:rPr>
          <w:iCs/>
        </w:rPr>
        <w:lastRenderedPageBreak/>
        <w:t>associated with dual upper-tropospheric jet streaks (Fig. 8a).</w:t>
      </w:r>
      <w:r w:rsidR="009F45F3">
        <w:rPr>
          <w:iCs/>
        </w:rPr>
        <w:t xml:space="preserve"> D</w:t>
      </w:r>
      <w:r w:rsidR="009F45F3" w:rsidRPr="00866DF7">
        <w:rPr>
          <w:iCs/>
        </w:rPr>
        <w:t>uring 1200 UTC 14–1200 UTC 15 August, the dual upper-tropospheric jet streaks gradually evolve into a cyclonically curved upper-tropospheric jet streak, and AC16 continues to intensify in a region of strong lower-to-</w:t>
      </w:r>
      <w:proofErr w:type="spellStart"/>
      <w:r w:rsidR="009F45F3" w:rsidRPr="00866DF7">
        <w:rPr>
          <w:iCs/>
        </w:rPr>
        <w:t>midtropospheric</w:t>
      </w:r>
      <w:proofErr w:type="spellEnd"/>
      <w:r w:rsidR="009F45F3" w:rsidRPr="00866DF7">
        <w:rPr>
          <w:iCs/>
        </w:rPr>
        <w:t xml:space="preserve"> baroclinicity (Figs. 8b–d).</w:t>
      </w:r>
      <w:r w:rsidR="009F45F3">
        <w:rPr>
          <w:iCs/>
        </w:rPr>
        <w:t xml:space="preserve"> There </w:t>
      </w:r>
      <w:r w:rsidR="009F45F3" w:rsidRPr="00866DF7">
        <w:rPr>
          <w:iCs/>
        </w:rPr>
        <w:t>are regions of strong lower-to-</w:t>
      </w:r>
      <w:proofErr w:type="spellStart"/>
      <w:r w:rsidR="009F45F3" w:rsidRPr="00866DF7">
        <w:rPr>
          <w:iCs/>
        </w:rPr>
        <w:t>midtropospheric</w:t>
      </w:r>
      <w:proofErr w:type="spellEnd"/>
      <w:r w:rsidR="009F45F3" w:rsidRPr="00866DF7">
        <w:rPr>
          <w:iCs/>
        </w:rPr>
        <w:t xml:space="preserve"> EGR</w:t>
      </w:r>
      <w:r w:rsidR="009F45F3" w:rsidRPr="00452968">
        <w:rPr>
          <w:iCs/>
        </w:rPr>
        <w:t xml:space="preserve"> </w:t>
      </w:r>
      <w:r w:rsidR="009F45F3" w:rsidRPr="00866DF7">
        <w:rPr>
          <w:iCs/>
        </w:rPr>
        <w:t>(Figs. 9a–d)</w:t>
      </w:r>
      <w:r w:rsidR="009F45F3">
        <w:rPr>
          <w:iCs/>
        </w:rPr>
        <w:t xml:space="preserve"> </w:t>
      </w:r>
      <w:r w:rsidR="009F45F3" w:rsidRPr="00866DF7">
        <w:rPr>
          <w:iCs/>
        </w:rPr>
        <w:t>associated with the region of strong lower-to-</w:t>
      </w:r>
      <w:proofErr w:type="spellStart"/>
      <w:r w:rsidR="009F45F3" w:rsidRPr="00866DF7">
        <w:rPr>
          <w:iCs/>
        </w:rPr>
        <w:t>midtropospheric</w:t>
      </w:r>
      <w:proofErr w:type="spellEnd"/>
      <w:r w:rsidR="009F45F3" w:rsidRPr="00866DF7">
        <w:rPr>
          <w:iCs/>
        </w:rPr>
        <w:t xml:space="preserve"> baroclinicity</w:t>
      </w:r>
      <w:r w:rsidR="009F45F3">
        <w:rPr>
          <w:iCs/>
        </w:rPr>
        <w:t xml:space="preserve"> (Figs. 8a–d)</w:t>
      </w:r>
      <w:r w:rsidR="009F45F3" w:rsidRPr="00866DF7">
        <w:rPr>
          <w:iCs/>
        </w:rPr>
        <w:t xml:space="preserve"> during 0000 UTC 14–1200 UTC 15 August</w:t>
      </w:r>
      <w:r w:rsidR="009F45F3">
        <w:rPr>
          <w:iCs/>
        </w:rPr>
        <w:t xml:space="preserve">. </w:t>
      </w:r>
      <w:r w:rsidR="009F45F3">
        <w:t>Figures 8a–d and Figs. 9a–d suggest that baroclinic processes play an important role in the intensification of AC16, which is in agreement with the findings of Yamagami et al. (2017</w:t>
      </w:r>
      <w:r w:rsidR="006D5950">
        <w:t>), Ban et al. (2023), and Qian et al. (2023).</w:t>
      </w:r>
      <w:r w:rsidR="009F45F3">
        <w:t xml:space="preserve"> </w:t>
      </w:r>
      <w:r w:rsidR="009F45F3">
        <w:rPr>
          <w:iCs/>
        </w:rPr>
        <w:t>L</w:t>
      </w:r>
      <w:r w:rsidR="009F45F3" w:rsidRPr="009F45F3">
        <w:rPr>
          <w:iCs/>
        </w:rPr>
        <w:t>ower-to-</w:t>
      </w:r>
      <w:proofErr w:type="spellStart"/>
      <w:r w:rsidR="009F45F3" w:rsidRPr="009F45F3">
        <w:rPr>
          <w:iCs/>
        </w:rPr>
        <w:t>midtropospheric</w:t>
      </w:r>
      <w:proofErr w:type="spellEnd"/>
      <w:r w:rsidR="009F45F3" w:rsidRPr="009F45F3">
        <w:rPr>
          <w:iCs/>
        </w:rPr>
        <w:t xml:space="preserve"> baroclinicity (Figs. 8</w:t>
      </w:r>
      <w:proofErr w:type="gramStart"/>
      <w:r w:rsidR="009F45F3" w:rsidRPr="009F45F3">
        <w:rPr>
          <w:iCs/>
        </w:rPr>
        <w:t>e,f</w:t>
      </w:r>
      <w:proofErr w:type="gramEnd"/>
      <w:r w:rsidR="009F45F3" w:rsidRPr="009F45F3">
        <w:rPr>
          <w:iCs/>
        </w:rPr>
        <w:t>) and lower-to-</w:t>
      </w:r>
      <w:proofErr w:type="spellStart"/>
      <w:r w:rsidR="009F45F3" w:rsidRPr="009F45F3">
        <w:rPr>
          <w:iCs/>
        </w:rPr>
        <w:t>midtropospheric</w:t>
      </w:r>
      <w:proofErr w:type="spellEnd"/>
      <w:r w:rsidR="009F45F3" w:rsidRPr="009F45F3">
        <w:rPr>
          <w:iCs/>
        </w:rPr>
        <w:t xml:space="preserve"> EGR (Figs. 9e,f) decrease near the center of AC16 as AC16 reaches peak intensity and shortly afterward, suggesting that AC16 becomes occluded.</w:t>
      </w:r>
    </w:p>
    <w:p w14:paraId="70BB239E" w14:textId="58629E8E" w:rsidR="009F45F3" w:rsidRDefault="007630DA" w:rsidP="006D5950">
      <w:pPr>
        <w:pStyle w:val="ParagraphText"/>
      </w:pPr>
      <w:r>
        <w:rPr>
          <w:iCs/>
        </w:rPr>
        <w:t xml:space="preserve">The role of TPVs in the evolution of AC16 is next examined. </w:t>
      </w:r>
      <w:r w:rsidR="009F45F3">
        <w:rPr>
          <w:iCs/>
        </w:rPr>
        <w:t xml:space="preserve">There is an upper-tropospheric PV maximum corresponding to a TPV upstream of AC16 that gradually approaches AC16 as AC16 intensifies during </w:t>
      </w:r>
      <w:r w:rsidR="009F45F3" w:rsidRPr="00866DF7">
        <w:rPr>
          <w:iCs/>
        </w:rPr>
        <w:t xml:space="preserve">0000 UTC 14–1200 UTC 15 August </w:t>
      </w:r>
      <w:r w:rsidR="009F45F3">
        <w:rPr>
          <w:iCs/>
        </w:rPr>
        <w:t>(Figs. 10a–d)</w:t>
      </w:r>
      <w:r w:rsidR="00CA68DA">
        <w:rPr>
          <w:iCs/>
        </w:rPr>
        <w:t>, suggesting that there is interaction between the TPV and AC16</w:t>
      </w:r>
      <w:r w:rsidR="009F45F3">
        <w:rPr>
          <w:iCs/>
        </w:rPr>
        <w:t>.</w:t>
      </w:r>
      <w:r w:rsidR="009F45F3" w:rsidRPr="009F45F3">
        <w:rPr>
          <w:iCs/>
        </w:rPr>
        <w:t xml:space="preserve"> </w:t>
      </w:r>
      <w:r w:rsidR="006D5950" w:rsidRPr="00E538DC">
        <w:t xml:space="preserve">There is also a second upper-tropospheric PV maximum </w:t>
      </w:r>
      <w:r w:rsidR="006D5950">
        <w:t>corresponding to</w:t>
      </w:r>
      <w:r w:rsidR="006D5950" w:rsidRPr="00E538DC">
        <w:t xml:space="preserve"> a TPV located to the northeast of AC16</w:t>
      </w:r>
      <w:r w:rsidR="006D5950">
        <w:t xml:space="preserve"> over the Arctic</w:t>
      </w:r>
      <w:r w:rsidR="006D5950" w:rsidRPr="00E538DC">
        <w:t xml:space="preserve"> during </w:t>
      </w:r>
      <w:r w:rsidR="006D5950">
        <w:t>00</w:t>
      </w:r>
      <w:r w:rsidR="006D5950" w:rsidRPr="00E538DC">
        <w:t>0</w:t>
      </w:r>
      <w:r w:rsidR="006D5950">
        <w:t>0 UTC 14–1200 UTC 14 August</w:t>
      </w:r>
      <w:r w:rsidR="006D5950" w:rsidRPr="00E538DC">
        <w:t xml:space="preserve"> (Figs. </w:t>
      </w:r>
      <w:r w:rsidR="006D5950">
        <w:t>10</w:t>
      </w:r>
      <w:proofErr w:type="gramStart"/>
      <w:r w:rsidR="006D5950" w:rsidRPr="00E538DC">
        <w:t>a</w:t>
      </w:r>
      <w:r w:rsidR="006D5950">
        <w:t>,b</w:t>
      </w:r>
      <w:proofErr w:type="gramEnd"/>
      <w:r w:rsidR="006D5950" w:rsidRPr="00E538DC">
        <w:t>)</w:t>
      </w:r>
      <w:r w:rsidR="00233B93">
        <w:t xml:space="preserve">. </w:t>
      </w:r>
      <w:r w:rsidR="007269BC">
        <w:t>Relatively large</w:t>
      </w:r>
      <w:r w:rsidR="006D5950" w:rsidRPr="00E538DC">
        <w:t xml:space="preserve"> upper-tropospheric PV gradients </w:t>
      </w:r>
      <w:r w:rsidR="006D5950">
        <w:t xml:space="preserve">are found </w:t>
      </w:r>
      <w:r w:rsidR="006D5950" w:rsidRPr="00E538DC">
        <w:t xml:space="preserve">between an upper-tropospheric ridge downstream of AC16 and the TPV </w:t>
      </w:r>
      <w:r w:rsidR="00E23C13">
        <w:t>upstream</w:t>
      </w:r>
      <w:r w:rsidR="006D5950" w:rsidRPr="00E538DC">
        <w:t xml:space="preserve"> of AC1</w:t>
      </w:r>
      <w:r w:rsidR="006D5950">
        <w:t>6</w:t>
      </w:r>
      <w:r w:rsidR="00233B93">
        <w:t>, and</w:t>
      </w:r>
      <w:r w:rsidR="006D5950">
        <w:t xml:space="preserve"> between the aforementioned </w:t>
      </w:r>
      <w:r w:rsidR="006D5950" w:rsidRPr="00E538DC">
        <w:t>u</w:t>
      </w:r>
      <w:r w:rsidR="006D5950">
        <w:t xml:space="preserve">pper-tropospheric ridge and the TPV </w:t>
      </w:r>
      <w:r w:rsidR="00E23C13">
        <w:t>northeast</w:t>
      </w:r>
      <w:r w:rsidR="006D5950">
        <w:t xml:space="preserve"> of AC16</w:t>
      </w:r>
      <w:r w:rsidR="00233B93">
        <w:t>,</w:t>
      </w:r>
      <w:r w:rsidR="006D5950" w:rsidRPr="00E538DC">
        <w:t xml:space="preserve"> </w:t>
      </w:r>
      <w:r w:rsidR="00233B93">
        <w:t>during 00</w:t>
      </w:r>
      <w:r w:rsidR="00233B93" w:rsidRPr="00E538DC">
        <w:t>0</w:t>
      </w:r>
      <w:r w:rsidR="00233B93">
        <w:t>0 UTC 14–1200 UTC 14 August</w:t>
      </w:r>
      <w:r w:rsidR="00233B93" w:rsidRPr="00E538DC">
        <w:t xml:space="preserve"> (Figs. </w:t>
      </w:r>
      <w:r w:rsidR="00233B93">
        <w:t>10</w:t>
      </w:r>
      <w:proofErr w:type="gramStart"/>
      <w:r w:rsidR="00233B93" w:rsidRPr="00E538DC">
        <w:t>a</w:t>
      </w:r>
      <w:r w:rsidR="00233B93">
        <w:t>,b</w:t>
      </w:r>
      <w:proofErr w:type="gramEnd"/>
      <w:r w:rsidR="00233B93" w:rsidRPr="00E538DC">
        <w:t>)</w:t>
      </w:r>
      <w:r w:rsidR="00233B93">
        <w:t xml:space="preserve">. </w:t>
      </w:r>
      <w:r w:rsidR="006D5950">
        <w:t xml:space="preserve">The </w:t>
      </w:r>
      <w:r w:rsidR="007269BC">
        <w:t>relatively large</w:t>
      </w:r>
      <w:r w:rsidR="006D5950">
        <w:t xml:space="preserve"> upper-tropospheric PV gradients are consistent with</w:t>
      </w:r>
      <w:r w:rsidR="006D5950" w:rsidRPr="00E538DC">
        <w:t xml:space="preserve"> the upper-tropospheric jet st</w:t>
      </w:r>
      <w:r w:rsidR="006D5950">
        <w:t>reaks</w:t>
      </w:r>
      <w:r w:rsidR="006D5950" w:rsidRPr="00E538DC">
        <w:t xml:space="preserve"> </w:t>
      </w:r>
      <w:r w:rsidR="00233B93">
        <w:t>in the vicinity of AC16 during 00</w:t>
      </w:r>
      <w:r w:rsidR="00233B93" w:rsidRPr="00E538DC">
        <w:t>0</w:t>
      </w:r>
      <w:r w:rsidR="00233B93">
        <w:t>0 UTC 14–1200 UTC 14 August</w:t>
      </w:r>
      <w:r w:rsidR="00233B93" w:rsidRPr="00E538DC">
        <w:t xml:space="preserve"> </w:t>
      </w:r>
      <w:r w:rsidR="006D5950" w:rsidRPr="00E538DC">
        <w:t xml:space="preserve">(Fig. </w:t>
      </w:r>
      <w:r w:rsidR="00233B93">
        <w:t>8</w:t>
      </w:r>
      <w:proofErr w:type="gramStart"/>
      <w:r w:rsidR="00233B93">
        <w:t>a,b</w:t>
      </w:r>
      <w:proofErr w:type="gramEnd"/>
      <w:r w:rsidR="006D5950" w:rsidRPr="00E538DC">
        <w:t>)</w:t>
      </w:r>
      <w:r w:rsidR="00D37800">
        <w:t xml:space="preserve"> that support the intensification of AC16 via baroclinic processes</w:t>
      </w:r>
      <w:r w:rsidR="006D5950" w:rsidRPr="00E538DC">
        <w:t>.</w:t>
      </w:r>
      <w:r w:rsidR="006D5950">
        <w:t xml:space="preserve"> The existence of multiple TPVs in the vicinity of AC16 is consistent with the results of Yamagami et al. (2017), Ban et al. (2023)</w:t>
      </w:r>
      <w:r w:rsidR="004E1C8E">
        <w:t>,</w:t>
      </w:r>
      <w:r w:rsidR="006D5950">
        <w:t xml:space="preserve"> and Qian et al. (2023).</w:t>
      </w:r>
      <w:r w:rsidR="006D5950" w:rsidRPr="00E538DC">
        <w:t xml:space="preserve"> </w:t>
      </w:r>
      <w:r>
        <w:t>Qian et al. (2023) show</w:t>
      </w:r>
      <w:r w:rsidR="00B70AEA">
        <w:t xml:space="preserve"> through</w:t>
      </w:r>
      <w:r>
        <w:t xml:space="preserve"> the pressure tendency equation that warm </w:t>
      </w:r>
      <w:r w:rsidR="004E1C8E">
        <w:t xml:space="preserve">air </w:t>
      </w:r>
      <w:r>
        <w:t>advection</w:t>
      </w:r>
      <w:r w:rsidR="00FC3981">
        <w:t xml:space="preserve"> </w:t>
      </w:r>
      <w:r w:rsidR="00B70AEA">
        <w:t>related to the</w:t>
      </w:r>
      <w:r>
        <w:t xml:space="preserve"> TPVs contributes to the intensification of AC16. </w:t>
      </w:r>
      <w:r w:rsidR="009F45F3">
        <w:rPr>
          <w:iCs/>
        </w:rPr>
        <w:t>T</w:t>
      </w:r>
      <w:r w:rsidR="009F45F3" w:rsidRPr="003654E8">
        <w:rPr>
          <w:iCs/>
        </w:rPr>
        <w:t>he TPV</w:t>
      </w:r>
      <w:r w:rsidR="006D5950">
        <w:rPr>
          <w:iCs/>
        </w:rPr>
        <w:t xml:space="preserve"> upstream of AC16</w:t>
      </w:r>
      <w:r w:rsidR="009F45F3" w:rsidRPr="003654E8">
        <w:rPr>
          <w:iCs/>
        </w:rPr>
        <w:t xml:space="preserve"> becomes </w:t>
      </w:r>
      <w:r w:rsidR="009F45F3">
        <w:rPr>
          <w:iCs/>
        </w:rPr>
        <w:t>positioned over</w:t>
      </w:r>
      <w:r w:rsidR="009F45F3" w:rsidRPr="003654E8">
        <w:rPr>
          <w:iCs/>
        </w:rPr>
        <w:t xml:space="preserve"> AC16 as AC16 reaches peak intensity and shortly afterward</w:t>
      </w:r>
      <w:r w:rsidR="009F45F3">
        <w:rPr>
          <w:iCs/>
        </w:rPr>
        <w:t xml:space="preserve"> during 0000–1200 UTC 16 August</w:t>
      </w:r>
      <w:r w:rsidR="009F45F3" w:rsidRPr="003654E8">
        <w:rPr>
          <w:iCs/>
        </w:rPr>
        <w:t xml:space="preserve"> (Figs. 1</w:t>
      </w:r>
      <w:r w:rsidR="009F45F3">
        <w:rPr>
          <w:iCs/>
        </w:rPr>
        <w:t>0</w:t>
      </w:r>
      <w:proofErr w:type="gramStart"/>
      <w:r w:rsidR="009F45F3" w:rsidRPr="003654E8">
        <w:rPr>
          <w:iCs/>
        </w:rPr>
        <w:t>e</w:t>
      </w:r>
      <w:r w:rsidR="009F45F3">
        <w:rPr>
          <w:iCs/>
        </w:rPr>
        <w:t>,f</w:t>
      </w:r>
      <w:proofErr w:type="gramEnd"/>
      <w:r w:rsidR="009F45F3" w:rsidRPr="003654E8">
        <w:rPr>
          <w:iCs/>
        </w:rPr>
        <w:t xml:space="preserve">), suggesting </w:t>
      </w:r>
      <w:r w:rsidR="009F45F3">
        <w:rPr>
          <w:iCs/>
        </w:rPr>
        <w:t>that</w:t>
      </w:r>
      <w:r w:rsidR="0031367A">
        <w:rPr>
          <w:iCs/>
        </w:rPr>
        <w:t xml:space="preserve"> the TPV becomes vertically superposed with AC16</w:t>
      </w:r>
      <w:r w:rsidR="00461774">
        <w:rPr>
          <w:iCs/>
        </w:rPr>
        <w:t xml:space="preserve"> </w:t>
      </w:r>
      <w:r w:rsidR="00461774">
        <w:rPr>
          <w:iCs/>
        </w:rPr>
        <w:t>and that AC16</w:t>
      </w:r>
      <w:r w:rsidR="00461774">
        <w:rPr>
          <w:iCs/>
        </w:rPr>
        <w:t xml:space="preserve"> </w:t>
      </w:r>
      <w:r w:rsidR="007363DF">
        <w:rPr>
          <w:iCs/>
        </w:rPr>
        <w:t>is possibly</w:t>
      </w:r>
      <w:r w:rsidR="00461774">
        <w:rPr>
          <w:iCs/>
        </w:rPr>
        <w:t xml:space="preserve"> </w:t>
      </w:r>
      <w:r w:rsidR="00461774" w:rsidRPr="003654E8">
        <w:rPr>
          <w:iCs/>
        </w:rPr>
        <w:t>becom</w:t>
      </w:r>
      <w:r w:rsidR="00461774">
        <w:rPr>
          <w:iCs/>
        </w:rPr>
        <w:t>ing</w:t>
      </w:r>
      <w:r w:rsidR="00461774" w:rsidRPr="003654E8">
        <w:rPr>
          <w:iCs/>
        </w:rPr>
        <w:t xml:space="preserve"> equivalent barotropic in structure.</w:t>
      </w:r>
      <w:r w:rsidR="00461774">
        <w:rPr>
          <w:iCs/>
        </w:rPr>
        <w:t xml:space="preserve"> Still, AC16 is not positioned over a thickness minimum during 0000–1200 UTC 16 August</w:t>
      </w:r>
      <w:r w:rsidR="00461774" w:rsidRPr="003654E8">
        <w:rPr>
          <w:iCs/>
        </w:rPr>
        <w:t xml:space="preserve"> (Figs. </w:t>
      </w:r>
      <w:r w:rsidR="00461774">
        <w:rPr>
          <w:iCs/>
        </w:rPr>
        <w:t>8</w:t>
      </w:r>
      <w:proofErr w:type="gramStart"/>
      <w:r w:rsidR="00461774" w:rsidRPr="003654E8">
        <w:rPr>
          <w:iCs/>
        </w:rPr>
        <w:t>e</w:t>
      </w:r>
      <w:r w:rsidR="00461774">
        <w:rPr>
          <w:iCs/>
        </w:rPr>
        <w:t>,f</w:t>
      </w:r>
      <w:proofErr w:type="gramEnd"/>
      <w:r w:rsidR="00461774" w:rsidRPr="003654E8">
        <w:rPr>
          <w:iCs/>
        </w:rPr>
        <w:t>),</w:t>
      </w:r>
      <w:r w:rsidR="00461774">
        <w:rPr>
          <w:iCs/>
        </w:rPr>
        <w:t xml:space="preserve"> which </w:t>
      </w:r>
      <w:r w:rsidR="007363DF">
        <w:rPr>
          <w:iCs/>
        </w:rPr>
        <w:t>argues</w:t>
      </w:r>
      <w:r w:rsidR="00461774">
        <w:rPr>
          <w:iCs/>
        </w:rPr>
        <w:t xml:space="preserve"> against a fully equivalent barotropic structure.</w:t>
      </w:r>
      <w:r w:rsidR="00461774" w:rsidRPr="009F45F3">
        <w:t xml:space="preserve"> </w:t>
      </w:r>
      <w:r w:rsidR="009F45F3">
        <w:t>Yamagami et al. (2017)</w:t>
      </w:r>
      <w:r w:rsidR="006D5950">
        <w:t xml:space="preserve">, Ban et al. </w:t>
      </w:r>
      <w:r w:rsidR="006D5950">
        <w:lastRenderedPageBreak/>
        <w:t>(2023)</w:t>
      </w:r>
      <w:r w:rsidR="007363DF">
        <w:t>,</w:t>
      </w:r>
      <w:r w:rsidR="006D5950">
        <w:t xml:space="preserve"> and Qian et al. (2023) </w:t>
      </w:r>
      <w:r w:rsidR="009F45F3">
        <w:t xml:space="preserve">similarly show that </w:t>
      </w:r>
      <w:r w:rsidR="00D37800">
        <w:t>the</w:t>
      </w:r>
      <w:r w:rsidR="009F45F3">
        <w:t xml:space="preserve"> TPV upstream of AC16 gradually approaches AC16 and becomes vertically superposed with AC16. </w:t>
      </w:r>
    </w:p>
    <w:p w14:paraId="26ED1F0F" w14:textId="279FB4C8" w:rsidR="0031367A" w:rsidRDefault="007630DA" w:rsidP="0031367A">
      <w:pPr>
        <w:pStyle w:val="ParagraphText"/>
        <w:rPr>
          <w:iCs/>
        </w:rPr>
      </w:pPr>
      <w:r>
        <w:rPr>
          <w:iCs/>
        </w:rPr>
        <w:t xml:space="preserve">The role of latent heating in the evolution of AC16 is lastly examined. </w:t>
      </w:r>
      <w:r w:rsidR="0031367A" w:rsidRPr="0031367A">
        <w:rPr>
          <w:iCs/>
        </w:rPr>
        <w:t xml:space="preserve">Figure </w:t>
      </w:r>
      <w:r w:rsidR="0031367A">
        <w:rPr>
          <w:iCs/>
        </w:rPr>
        <w:t>11</w:t>
      </w:r>
      <w:r w:rsidR="0031367A" w:rsidRPr="0031367A">
        <w:rPr>
          <w:iCs/>
        </w:rPr>
        <w:t xml:space="preserve">a indicates that there is an IVT corridor </w:t>
      </w:r>
      <w:r w:rsidR="0031367A">
        <w:rPr>
          <w:iCs/>
        </w:rPr>
        <w:t>extending from southern to the northeastern flank of</w:t>
      </w:r>
      <w:r w:rsidR="0031367A" w:rsidRPr="0031367A">
        <w:rPr>
          <w:iCs/>
        </w:rPr>
        <w:t xml:space="preserve"> AC16 at </w:t>
      </w:r>
      <w:r w:rsidR="0031367A">
        <w:rPr>
          <w:iCs/>
        </w:rPr>
        <w:t>00</w:t>
      </w:r>
      <w:r w:rsidR="0031367A" w:rsidRPr="0031367A">
        <w:rPr>
          <w:iCs/>
        </w:rPr>
        <w:t>00 UTC 1</w:t>
      </w:r>
      <w:r w:rsidR="0031367A">
        <w:rPr>
          <w:iCs/>
        </w:rPr>
        <w:t>4</w:t>
      </w:r>
      <w:r w:rsidR="0031367A" w:rsidRPr="0031367A">
        <w:rPr>
          <w:iCs/>
        </w:rPr>
        <w:t xml:space="preserve"> August. The IVT corridor may be a manifestation of a WCB associated with AC16. Associated with the IVT corridor are regions of IMFC indicative of latent heating </w:t>
      </w:r>
      <w:r w:rsidR="0031367A">
        <w:rPr>
          <w:iCs/>
        </w:rPr>
        <w:t>in the vicinity of AC16</w:t>
      </w:r>
      <w:r w:rsidR="0031367A" w:rsidRPr="0031367A">
        <w:rPr>
          <w:iCs/>
        </w:rPr>
        <w:t xml:space="preserve"> </w:t>
      </w:r>
      <w:r w:rsidR="00AA4384" w:rsidRPr="0031367A">
        <w:rPr>
          <w:iCs/>
        </w:rPr>
        <w:t xml:space="preserve">at </w:t>
      </w:r>
      <w:r w:rsidR="00AA4384">
        <w:rPr>
          <w:iCs/>
        </w:rPr>
        <w:t>00</w:t>
      </w:r>
      <w:r w:rsidR="00AA4384" w:rsidRPr="0031367A">
        <w:rPr>
          <w:iCs/>
        </w:rPr>
        <w:t>00 UTC 1</w:t>
      </w:r>
      <w:r w:rsidR="00AA4384">
        <w:rPr>
          <w:iCs/>
        </w:rPr>
        <w:t>4</w:t>
      </w:r>
      <w:r w:rsidR="00AA4384" w:rsidRPr="0031367A">
        <w:rPr>
          <w:iCs/>
        </w:rPr>
        <w:t xml:space="preserve"> August </w:t>
      </w:r>
      <w:r w:rsidR="0031367A" w:rsidRPr="0031367A">
        <w:rPr>
          <w:iCs/>
        </w:rPr>
        <w:t xml:space="preserve">(Fig. </w:t>
      </w:r>
      <w:r w:rsidR="0031367A">
        <w:rPr>
          <w:iCs/>
        </w:rPr>
        <w:t>11</w:t>
      </w:r>
      <w:r w:rsidR="0031367A" w:rsidRPr="0031367A">
        <w:rPr>
          <w:iCs/>
        </w:rPr>
        <w:t>a).</w:t>
      </w:r>
      <w:r w:rsidR="0031367A">
        <w:rPr>
          <w:iCs/>
        </w:rPr>
        <w:t xml:space="preserve"> A</w:t>
      </w:r>
      <w:r w:rsidR="0031367A" w:rsidRPr="0031367A">
        <w:rPr>
          <w:iCs/>
        </w:rPr>
        <w:t xml:space="preserve"> region of</w:t>
      </w:r>
      <w:r w:rsidR="0031367A">
        <w:rPr>
          <w:iCs/>
        </w:rPr>
        <w:t xml:space="preserve"> relatively strong</w:t>
      </w:r>
      <w:r w:rsidR="0031367A" w:rsidRPr="0031367A">
        <w:rPr>
          <w:iCs/>
        </w:rPr>
        <w:t xml:space="preserve"> IMFC northeast of AC16 at 0000 UTC 14 August (Fig. </w:t>
      </w:r>
      <w:r w:rsidR="0031367A">
        <w:rPr>
          <w:iCs/>
        </w:rPr>
        <w:t>11a</w:t>
      </w:r>
      <w:r w:rsidR="0031367A" w:rsidRPr="0031367A">
        <w:rPr>
          <w:iCs/>
        </w:rPr>
        <w:t>) coincides with well-defined regions of lower-to-</w:t>
      </w:r>
      <w:proofErr w:type="spellStart"/>
      <w:r w:rsidR="0031367A" w:rsidRPr="0031367A">
        <w:rPr>
          <w:iCs/>
        </w:rPr>
        <w:t>midtropospheric</w:t>
      </w:r>
      <w:proofErr w:type="spellEnd"/>
      <w:r w:rsidR="0031367A" w:rsidRPr="0031367A">
        <w:rPr>
          <w:iCs/>
        </w:rPr>
        <w:t xml:space="preserve"> accent</w:t>
      </w:r>
      <w:r w:rsidR="007363DF">
        <w:rPr>
          <w:iCs/>
        </w:rPr>
        <w:t xml:space="preserve">, </w:t>
      </w:r>
      <w:r w:rsidR="0031367A" w:rsidRPr="0031367A">
        <w:rPr>
          <w:iCs/>
        </w:rPr>
        <w:t>upper-tropospheric divergence</w:t>
      </w:r>
      <w:r w:rsidR="007363DF">
        <w:rPr>
          <w:iCs/>
        </w:rPr>
        <w:t xml:space="preserve">, </w:t>
      </w:r>
      <w:r w:rsidR="0031367A" w:rsidRPr="0031367A">
        <w:rPr>
          <w:iCs/>
        </w:rPr>
        <w:t xml:space="preserve">and </w:t>
      </w:r>
      <w:r w:rsidR="007363DF">
        <w:rPr>
          <w:iCs/>
        </w:rPr>
        <w:t xml:space="preserve">upper-tropospheric </w:t>
      </w:r>
      <w:r w:rsidR="0031367A" w:rsidRPr="0031367A">
        <w:rPr>
          <w:iCs/>
        </w:rPr>
        <w:t xml:space="preserve">irrotational </w:t>
      </w:r>
      <w:r w:rsidR="007363DF">
        <w:rPr>
          <w:iCs/>
        </w:rPr>
        <w:t xml:space="preserve">outflow </w:t>
      </w:r>
      <w:r w:rsidR="0031367A" w:rsidRPr="0031367A">
        <w:rPr>
          <w:iCs/>
        </w:rPr>
        <w:t>at this time</w:t>
      </w:r>
      <w:r w:rsidR="007363DF">
        <w:rPr>
          <w:iCs/>
        </w:rPr>
        <w:t xml:space="preserve"> </w:t>
      </w:r>
      <w:r w:rsidR="007363DF" w:rsidRPr="0031367A">
        <w:rPr>
          <w:iCs/>
        </w:rPr>
        <w:t xml:space="preserve">(Fig. </w:t>
      </w:r>
      <w:r w:rsidR="007363DF">
        <w:rPr>
          <w:iCs/>
        </w:rPr>
        <w:t>10a</w:t>
      </w:r>
      <w:r w:rsidR="007363DF" w:rsidRPr="0031367A">
        <w:rPr>
          <w:iCs/>
        </w:rPr>
        <w:t>)</w:t>
      </w:r>
      <w:r w:rsidR="0031367A" w:rsidRPr="0031367A">
        <w:rPr>
          <w:iCs/>
        </w:rPr>
        <w:t>.</w:t>
      </w:r>
      <w:r w:rsidR="004C3074">
        <w:rPr>
          <w:iCs/>
        </w:rPr>
        <w:t xml:space="preserve"> </w:t>
      </w:r>
      <w:r w:rsidR="003A07C6">
        <w:rPr>
          <w:iCs/>
        </w:rPr>
        <w:t xml:space="preserve">The </w:t>
      </w:r>
      <w:r w:rsidR="003A07C6" w:rsidRPr="0031367A">
        <w:rPr>
          <w:iCs/>
        </w:rPr>
        <w:t xml:space="preserve">well-defined regions of </w:t>
      </w:r>
      <w:r w:rsidR="007363DF" w:rsidRPr="0031367A">
        <w:rPr>
          <w:iCs/>
        </w:rPr>
        <w:t>lower-to-</w:t>
      </w:r>
      <w:proofErr w:type="spellStart"/>
      <w:r w:rsidR="007363DF" w:rsidRPr="0031367A">
        <w:rPr>
          <w:iCs/>
        </w:rPr>
        <w:t>midtropospheric</w:t>
      </w:r>
      <w:proofErr w:type="spellEnd"/>
      <w:r w:rsidR="007363DF" w:rsidRPr="0031367A">
        <w:rPr>
          <w:iCs/>
        </w:rPr>
        <w:t xml:space="preserve"> accent</w:t>
      </w:r>
      <w:r w:rsidR="007363DF">
        <w:rPr>
          <w:iCs/>
        </w:rPr>
        <w:t xml:space="preserve">, </w:t>
      </w:r>
      <w:r w:rsidR="007363DF" w:rsidRPr="0031367A">
        <w:rPr>
          <w:iCs/>
        </w:rPr>
        <w:t>upper-tropospheric divergence</w:t>
      </w:r>
      <w:r w:rsidR="007363DF">
        <w:rPr>
          <w:iCs/>
        </w:rPr>
        <w:t xml:space="preserve">, </w:t>
      </w:r>
      <w:r w:rsidR="007363DF" w:rsidRPr="0031367A">
        <w:rPr>
          <w:iCs/>
        </w:rPr>
        <w:t xml:space="preserve">and </w:t>
      </w:r>
      <w:r w:rsidR="007363DF">
        <w:rPr>
          <w:iCs/>
        </w:rPr>
        <w:t xml:space="preserve">upper-tropospheric </w:t>
      </w:r>
      <w:r w:rsidR="007363DF" w:rsidRPr="0031367A">
        <w:rPr>
          <w:iCs/>
        </w:rPr>
        <w:t xml:space="preserve">irrotational </w:t>
      </w:r>
      <w:r w:rsidR="007363DF">
        <w:rPr>
          <w:iCs/>
        </w:rPr>
        <w:t>outflow</w:t>
      </w:r>
      <w:r w:rsidR="003A07C6" w:rsidRPr="0031367A">
        <w:rPr>
          <w:iCs/>
        </w:rPr>
        <w:t xml:space="preserve"> at</w:t>
      </w:r>
      <w:r w:rsidR="003A07C6">
        <w:rPr>
          <w:iCs/>
        </w:rPr>
        <w:t xml:space="preserve"> 0000 UTC 14 August</w:t>
      </w:r>
      <w:r w:rsidR="003A07C6">
        <w:t xml:space="preserve"> </w:t>
      </w:r>
      <w:r w:rsidR="007363DF" w:rsidRPr="0031367A">
        <w:rPr>
          <w:iCs/>
        </w:rPr>
        <w:t xml:space="preserve">(Fig. </w:t>
      </w:r>
      <w:r w:rsidR="007363DF">
        <w:rPr>
          <w:iCs/>
        </w:rPr>
        <w:t>10a</w:t>
      </w:r>
      <w:r w:rsidR="007363DF" w:rsidRPr="0031367A">
        <w:rPr>
          <w:iCs/>
        </w:rPr>
        <w:t xml:space="preserve">) </w:t>
      </w:r>
      <w:r w:rsidR="003A07C6">
        <w:t xml:space="preserve">are likely signatures of the latent heating. </w:t>
      </w:r>
      <w:r w:rsidR="0031367A" w:rsidRPr="0031367A">
        <w:rPr>
          <w:iCs/>
        </w:rPr>
        <w:t>The latent heating likely contributes to the intensification of AC16.</w:t>
      </w:r>
      <w:r w:rsidR="002F6602">
        <w:rPr>
          <w:iCs/>
        </w:rPr>
        <w:t xml:space="preserve"> Qia</w:t>
      </w:r>
      <w:r w:rsidR="00233B93">
        <w:rPr>
          <w:iCs/>
        </w:rPr>
        <w:t>n et al. (2023) show through the pressure tendency equation that lower-to-</w:t>
      </w:r>
      <w:proofErr w:type="spellStart"/>
      <w:r w:rsidR="00233B93">
        <w:rPr>
          <w:iCs/>
        </w:rPr>
        <w:t>midtropospheric</w:t>
      </w:r>
      <w:proofErr w:type="spellEnd"/>
      <w:r w:rsidR="00233B93">
        <w:rPr>
          <w:iCs/>
        </w:rPr>
        <w:t xml:space="preserve"> diabatic heating</w:t>
      </w:r>
      <w:r w:rsidR="00AA4384">
        <w:rPr>
          <w:iCs/>
        </w:rPr>
        <w:t>, which they state</w:t>
      </w:r>
      <w:r w:rsidR="00233B93">
        <w:rPr>
          <w:iCs/>
        </w:rPr>
        <w:t xml:space="preserve"> is probably related to latent heating</w:t>
      </w:r>
      <w:r w:rsidR="00AA4384">
        <w:rPr>
          <w:iCs/>
        </w:rPr>
        <w:t>,</w:t>
      </w:r>
      <w:r w:rsidR="00233B93">
        <w:rPr>
          <w:iCs/>
        </w:rPr>
        <w:t xml:space="preserve"> contributes to the intensification of AC16.</w:t>
      </w:r>
      <w:r w:rsidR="0031367A" w:rsidRPr="0031367A">
        <w:rPr>
          <w:iCs/>
        </w:rPr>
        <w:t xml:space="preserve"> The IVT corridor and associated regions of IMFC persist and gradually weaken during 1200 UTC 14–</w:t>
      </w:r>
      <w:r w:rsidR="0031367A">
        <w:rPr>
          <w:iCs/>
        </w:rPr>
        <w:t>12</w:t>
      </w:r>
      <w:r w:rsidR="0031367A" w:rsidRPr="0031367A">
        <w:rPr>
          <w:iCs/>
        </w:rPr>
        <w:t xml:space="preserve">00 UTC 16 August (Figs. </w:t>
      </w:r>
      <w:r w:rsidR="004C3074">
        <w:rPr>
          <w:iCs/>
        </w:rPr>
        <w:t>11b</w:t>
      </w:r>
      <w:r w:rsidR="0031367A" w:rsidRPr="0031367A">
        <w:rPr>
          <w:iCs/>
        </w:rPr>
        <w:t xml:space="preserve">–f). </w:t>
      </w:r>
      <w:r w:rsidR="00411D4C">
        <w:rPr>
          <w:iCs/>
        </w:rPr>
        <w:t>Regions of lower-to-</w:t>
      </w:r>
      <w:proofErr w:type="spellStart"/>
      <w:r w:rsidR="00411D4C">
        <w:rPr>
          <w:iCs/>
        </w:rPr>
        <w:t>midtropospheric</w:t>
      </w:r>
      <w:proofErr w:type="spellEnd"/>
      <w:r w:rsidR="00411D4C">
        <w:rPr>
          <w:iCs/>
        </w:rPr>
        <w:t xml:space="preserve"> ascent, upper-tropospheric divergence, and upper-tropospheric irrotational outflow </w:t>
      </w:r>
      <w:r w:rsidR="001677BC">
        <w:rPr>
          <w:iCs/>
        </w:rPr>
        <w:t>also</w:t>
      </w:r>
      <w:r w:rsidR="00411D4C">
        <w:rPr>
          <w:iCs/>
        </w:rPr>
        <w:t xml:space="preserve"> persist and gradually weaken </w:t>
      </w:r>
      <w:r w:rsidR="00411D4C" w:rsidRPr="0031367A">
        <w:rPr>
          <w:iCs/>
        </w:rPr>
        <w:t>during 1200 UTC 14–</w:t>
      </w:r>
      <w:r w:rsidR="00411D4C">
        <w:rPr>
          <w:iCs/>
        </w:rPr>
        <w:t>12</w:t>
      </w:r>
      <w:r w:rsidR="00411D4C" w:rsidRPr="0031367A">
        <w:rPr>
          <w:iCs/>
        </w:rPr>
        <w:t xml:space="preserve">00 UTC 16 August </w:t>
      </w:r>
      <w:r w:rsidR="00411D4C">
        <w:rPr>
          <w:iCs/>
        </w:rPr>
        <w:t>(Figs. 10b–f).</w:t>
      </w:r>
    </w:p>
    <w:p w14:paraId="6FE392E2" w14:textId="6DF0D344" w:rsidR="00691A1B" w:rsidRPr="00691A1B" w:rsidRDefault="00B42FD1" w:rsidP="00E42819">
      <w:pPr>
        <w:pStyle w:val="ParagraphText"/>
        <w:rPr>
          <w:iCs/>
        </w:rPr>
      </w:pPr>
      <w:r>
        <w:t xml:space="preserve">Consistent with the results of the composite analysis for the strong low-skill ACs in section 3a, </w:t>
      </w:r>
      <w:r w:rsidR="002864F7">
        <w:t xml:space="preserve">and consistent with the results of </w:t>
      </w:r>
      <w:r w:rsidR="002864F7" w:rsidRPr="00D71752">
        <w:rPr>
          <w:iCs/>
        </w:rPr>
        <w:t>Yamagami et al. (2017)</w:t>
      </w:r>
      <w:r w:rsidR="002864F7">
        <w:rPr>
          <w:iCs/>
        </w:rPr>
        <w:t>, Ban et al. (2023), and Qian et al. (2023),</w:t>
      </w:r>
      <w:r w:rsidR="002864F7" w:rsidRPr="00D71752">
        <w:rPr>
          <w:iCs/>
        </w:rPr>
        <w:t xml:space="preserve"> </w:t>
      </w:r>
      <w:r>
        <w:t>the synoptic-dynamic analysis of AC16 indicates that</w:t>
      </w:r>
      <w:r w:rsidR="00E63D48">
        <w:t xml:space="preserve"> TPV</w:t>
      </w:r>
      <w:r w:rsidR="00D37800">
        <w:t>s</w:t>
      </w:r>
      <w:r w:rsidR="00E63D48">
        <w:t>, TPV–AC interactions, baroclinic processes, and latent heating</w:t>
      </w:r>
      <w:r>
        <w:t xml:space="preserve"> appear to influence the evolution of AC16</w:t>
      </w:r>
      <w:r w:rsidR="00E63D48">
        <w:t>. The sensitivity of the forecast skill of</w:t>
      </w:r>
      <w:r w:rsidR="00FB792F">
        <w:t xml:space="preserve"> the</w:t>
      </w:r>
      <w:r w:rsidR="00E63D48">
        <w:t xml:space="preserve"> intensity of AC16 to selected dynamic and thermodynamic quantities will next be examined to help determine what features and processes may influence the forecast skill of</w:t>
      </w:r>
      <w:r w:rsidR="00FB792F">
        <w:t xml:space="preserve"> the</w:t>
      </w:r>
      <w:r w:rsidR="00E63D48">
        <w:t xml:space="preserve"> intensity of AC16.</w:t>
      </w:r>
    </w:p>
    <w:p w14:paraId="560F5C85" w14:textId="3D5044AC" w:rsidR="00F52648" w:rsidRDefault="00F52648" w:rsidP="00F52648">
      <w:pPr>
        <w:pStyle w:val="H2"/>
        <w:rPr>
          <w:szCs w:val="24"/>
        </w:rPr>
      </w:pPr>
      <w:r>
        <w:rPr>
          <w:szCs w:val="24"/>
        </w:rPr>
        <w:t>c</w:t>
      </w:r>
      <w:r w:rsidRPr="00B36F8E">
        <w:rPr>
          <w:szCs w:val="24"/>
        </w:rPr>
        <w:t xml:space="preserve">. </w:t>
      </w:r>
      <w:r w:rsidR="00911679">
        <w:rPr>
          <w:szCs w:val="24"/>
        </w:rPr>
        <w:t>ESA of AC16</w:t>
      </w:r>
    </w:p>
    <w:p w14:paraId="7323BD63" w14:textId="5E6EFDEC" w:rsidR="00183528" w:rsidRDefault="00244044" w:rsidP="00E42819">
      <w:pPr>
        <w:pStyle w:val="H2"/>
        <w:spacing w:before="120"/>
        <w:ind w:firstLine="360"/>
        <w:rPr>
          <w:i w:val="0"/>
          <w:iCs/>
        </w:rPr>
      </w:pPr>
      <w:bookmarkStart w:id="1" w:name="_Hlk118465285"/>
      <w:r>
        <w:rPr>
          <w:i w:val="0"/>
        </w:rPr>
        <w:t>The s</w:t>
      </w:r>
      <w:r w:rsidRPr="00244044">
        <w:rPr>
          <w:i w:val="0"/>
        </w:rPr>
        <w:t xml:space="preserve">ensitivity of </w:t>
      </w:r>
      <w:r w:rsidRPr="00244044">
        <w:rPr>
          <w:iCs/>
        </w:rPr>
        <w:t>J</w:t>
      </w:r>
      <w:r w:rsidRPr="00244044">
        <w:rPr>
          <w:iCs/>
          <w:vertAlign w:val="subscript"/>
        </w:rPr>
        <w:t>AC</w:t>
      </w:r>
      <w:r>
        <w:rPr>
          <w:i w:val="0"/>
        </w:rPr>
        <w:t>, which was defined in</w:t>
      </w:r>
      <w:r w:rsidRPr="00244044">
        <w:rPr>
          <w:i w:val="0"/>
        </w:rPr>
        <w:t xml:space="preserve"> section 2b</w:t>
      </w:r>
      <w:r w:rsidR="00DB188E">
        <w:rPr>
          <w:i w:val="0"/>
        </w:rPr>
        <w:t xml:space="preserve">, </w:t>
      </w:r>
      <w:r w:rsidRPr="00244044">
        <w:rPr>
          <w:i w:val="0"/>
        </w:rPr>
        <w:t xml:space="preserve">to selected dynamic and thermodynamic quantities </w:t>
      </w:r>
      <w:r w:rsidR="00064E83">
        <w:rPr>
          <w:i w:val="0"/>
        </w:rPr>
        <w:t>is examined</w:t>
      </w:r>
      <w:r w:rsidRPr="00244044">
        <w:rPr>
          <w:i w:val="0"/>
        </w:rPr>
        <w:t xml:space="preserve"> in th</w:t>
      </w:r>
      <w:r w:rsidR="00064E83">
        <w:rPr>
          <w:i w:val="0"/>
        </w:rPr>
        <w:t>e present sub</w:t>
      </w:r>
      <w:r w:rsidRPr="00244044">
        <w:rPr>
          <w:i w:val="0"/>
        </w:rPr>
        <w:t>section.</w:t>
      </w:r>
      <w:r w:rsidRPr="00244044">
        <w:rPr>
          <w:i w:val="0"/>
          <w:kern w:val="0"/>
        </w:rPr>
        <w:t xml:space="preserve"> </w:t>
      </w:r>
      <w:r>
        <w:rPr>
          <w:i w:val="0"/>
          <w:iCs/>
        </w:rPr>
        <w:t>S</w:t>
      </w:r>
      <w:r w:rsidRPr="00244044">
        <w:rPr>
          <w:i w:val="0"/>
          <w:iCs/>
        </w:rPr>
        <w:t xml:space="preserve">ensitivity values are multiplied by −1, such that positive sensitivity values indicate that increasing the value of the quantity is associated with a decrease in </w:t>
      </w:r>
      <w:r w:rsidRPr="00244044">
        <w:rPr>
          <w:iCs/>
        </w:rPr>
        <w:t>J</w:t>
      </w:r>
      <w:r w:rsidRPr="00244044">
        <w:rPr>
          <w:iCs/>
          <w:vertAlign w:val="subscript"/>
        </w:rPr>
        <w:t>AC</w:t>
      </w:r>
      <w:r w:rsidRPr="00244044">
        <w:rPr>
          <w:i w:val="0"/>
          <w:iCs/>
        </w:rPr>
        <w:t xml:space="preserve"> and negative sensitivity values indicate that </w:t>
      </w:r>
      <w:r w:rsidRPr="00244044">
        <w:rPr>
          <w:i w:val="0"/>
          <w:iCs/>
        </w:rPr>
        <w:lastRenderedPageBreak/>
        <w:t>decreasing the value of the quantity is associated with a decrease in</w:t>
      </w:r>
      <w:r w:rsidRPr="00244044">
        <w:rPr>
          <w:i w:val="0"/>
        </w:rPr>
        <w:t xml:space="preserve"> </w:t>
      </w:r>
      <w:r w:rsidRPr="00244044">
        <w:rPr>
          <w:iCs/>
        </w:rPr>
        <w:t>J</w:t>
      </w:r>
      <w:r w:rsidRPr="00244044">
        <w:rPr>
          <w:iCs/>
          <w:vertAlign w:val="subscript"/>
        </w:rPr>
        <w:t>AC</w:t>
      </w:r>
      <w:r w:rsidRPr="00244044">
        <w:rPr>
          <w:i w:val="0"/>
          <w:iCs/>
        </w:rPr>
        <w:t>.</w:t>
      </w:r>
      <w:r>
        <w:rPr>
          <w:i w:val="0"/>
          <w:iCs/>
        </w:rPr>
        <w:t xml:space="preserve"> S</w:t>
      </w:r>
      <w:r w:rsidRPr="00244044">
        <w:rPr>
          <w:i w:val="0"/>
          <w:iCs/>
        </w:rPr>
        <w:t xml:space="preserve">ince </w:t>
      </w:r>
      <w:r w:rsidRPr="00244044">
        <w:t>J</w:t>
      </w:r>
      <w:r w:rsidRPr="00244044">
        <w:rPr>
          <w:vertAlign w:val="subscript"/>
        </w:rPr>
        <w:t>AC</w:t>
      </w:r>
      <w:r w:rsidRPr="00244044">
        <w:rPr>
          <w:i w:val="0"/>
          <w:iCs/>
        </w:rPr>
        <w:t xml:space="preserve"> </w:t>
      </w:r>
      <w:r w:rsidR="00DB188E">
        <w:rPr>
          <w:i w:val="0"/>
          <w:iCs/>
        </w:rPr>
        <w:t>was</w:t>
      </w:r>
      <w:r w:rsidRPr="00244044">
        <w:rPr>
          <w:i w:val="0"/>
          <w:iCs/>
        </w:rPr>
        <w:t xml:space="preserve"> defined </w:t>
      </w:r>
      <w:r w:rsidR="00DB188E">
        <w:rPr>
          <w:i w:val="0"/>
          <w:iCs/>
        </w:rPr>
        <w:t xml:space="preserve">in section 2b </w:t>
      </w:r>
      <w:r w:rsidRPr="00244044">
        <w:rPr>
          <w:i w:val="0"/>
          <w:iCs/>
        </w:rPr>
        <w:t xml:space="preserve">as the minimum SLP of AC16 at 0000 UTC 15 August (120 h), lower values of </w:t>
      </w:r>
      <w:r w:rsidRPr="00244044">
        <w:t>J</w:t>
      </w:r>
      <w:r w:rsidRPr="00244044">
        <w:rPr>
          <w:vertAlign w:val="subscript"/>
        </w:rPr>
        <w:t>AC</w:t>
      </w:r>
      <w:r w:rsidRPr="00244044">
        <w:rPr>
          <w:i w:val="0"/>
          <w:iCs/>
        </w:rPr>
        <w:t xml:space="preserve"> are associated with </w:t>
      </w:r>
      <w:r w:rsidR="00DB188E">
        <w:rPr>
          <w:i w:val="0"/>
          <w:iCs/>
        </w:rPr>
        <w:t xml:space="preserve">a </w:t>
      </w:r>
      <w:r w:rsidRPr="00244044">
        <w:rPr>
          <w:i w:val="0"/>
          <w:iCs/>
        </w:rPr>
        <w:t>stronger AC16, and a correspondingly more accurate intensity forecast of AC16, at 0000 UTC 15 August (120 h).</w:t>
      </w:r>
      <w:r w:rsidR="0069710A">
        <w:rPr>
          <w:i w:val="0"/>
          <w:iCs/>
        </w:rPr>
        <w:t xml:space="preserve"> A</w:t>
      </w:r>
      <w:r w:rsidR="0069710A" w:rsidRPr="0069710A">
        <w:rPr>
          <w:i w:val="0"/>
          <w:iCs/>
        </w:rPr>
        <w:t xml:space="preserve">ccordingly, </w:t>
      </w:r>
      <w:r w:rsidR="00683C5D">
        <w:rPr>
          <w:i w:val="0"/>
          <w:iCs/>
        </w:rPr>
        <w:t xml:space="preserve">a stronger AC16, and </w:t>
      </w:r>
      <w:r w:rsidR="0069710A" w:rsidRPr="0069710A">
        <w:rPr>
          <w:i w:val="0"/>
          <w:iCs/>
        </w:rPr>
        <w:t xml:space="preserve">a </w:t>
      </w:r>
      <w:r w:rsidR="00683C5D">
        <w:rPr>
          <w:i w:val="0"/>
          <w:iCs/>
        </w:rPr>
        <w:t xml:space="preserve">correspondingly </w:t>
      </w:r>
      <w:r w:rsidR="0069710A" w:rsidRPr="0069710A">
        <w:rPr>
          <w:i w:val="0"/>
          <w:iCs/>
        </w:rPr>
        <w:t>more accurate intensity forecast of AC16</w:t>
      </w:r>
      <w:r w:rsidR="00683C5D">
        <w:rPr>
          <w:i w:val="0"/>
          <w:iCs/>
        </w:rPr>
        <w:t>,</w:t>
      </w:r>
      <w:r w:rsidR="0069710A" w:rsidRPr="0069710A">
        <w:rPr>
          <w:i w:val="0"/>
          <w:iCs/>
        </w:rPr>
        <w:t xml:space="preserve"> at 0000 UTC 15 August (120 h) is associated with increasing the value of the quantity for positive sensitivity values and with decreasing the value of the quantity for negative sensitivity values.</w:t>
      </w:r>
    </w:p>
    <w:p w14:paraId="15B2A229" w14:textId="3F1E76F7" w:rsidR="0069710A" w:rsidRDefault="0069710A" w:rsidP="00244044">
      <w:pPr>
        <w:pStyle w:val="H2"/>
        <w:ind w:firstLine="360"/>
        <w:rPr>
          <w:rFonts w:eastAsia="MS Mincho"/>
          <w:i w:val="0"/>
          <w:kern w:val="0"/>
          <w:szCs w:val="24"/>
        </w:rPr>
      </w:pPr>
      <w:r>
        <w:rPr>
          <w:rFonts w:eastAsia="MS Mincho"/>
          <w:i w:val="0"/>
          <w:kern w:val="0"/>
          <w:szCs w:val="24"/>
        </w:rPr>
        <w:t>T</w:t>
      </w:r>
      <w:r w:rsidRPr="0069710A">
        <w:rPr>
          <w:rFonts w:eastAsia="MS Mincho"/>
          <w:i w:val="0"/>
          <w:kern w:val="0"/>
          <w:szCs w:val="24"/>
        </w:rPr>
        <w:t xml:space="preserve">he sensitivity of </w:t>
      </w:r>
      <w:r w:rsidRPr="0069710A">
        <w:rPr>
          <w:rFonts w:eastAsia="MS Mincho"/>
          <w:iCs/>
          <w:kern w:val="0"/>
          <w:szCs w:val="24"/>
        </w:rPr>
        <w:t>J</w:t>
      </w:r>
      <w:r w:rsidRPr="0069710A">
        <w:rPr>
          <w:rFonts w:eastAsia="MS Mincho"/>
          <w:iCs/>
          <w:kern w:val="0"/>
          <w:szCs w:val="24"/>
          <w:vertAlign w:val="subscript"/>
        </w:rPr>
        <w:t>AC</w:t>
      </w:r>
      <w:r w:rsidRPr="0069710A">
        <w:rPr>
          <w:rFonts w:eastAsia="MS Mincho"/>
          <w:i w:val="0"/>
          <w:kern w:val="0"/>
          <w:szCs w:val="24"/>
        </w:rPr>
        <w:t xml:space="preserve"> to upper-tropospheric PV is first examined to determine the sensitivity of the intensity forecast of AC16 to upper-tropospheric features.</w:t>
      </w:r>
      <w:r w:rsidR="001272BB">
        <w:rPr>
          <w:rFonts w:eastAsia="MS Mincho"/>
          <w:i w:val="0"/>
          <w:kern w:val="0"/>
          <w:szCs w:val="24"/>
        </w:rPr>
        <w:t xml:space="preserve"> T</w:t>
      </w:r>
      <w:r w:rsidR="001272BB" w:rsidRPr="001272BB">
        <w:rPr>
          <w:rFonts w:eastAsia="MS Mincho"/>
          <w:i w:val="0"/>
          <w:kern w:val="0"/>
          <w:szCs w:val="24"/>
        </w:rPr>
        <w:t xml:space="preserve">here is a small region of negative sensitivity of </w:t>
      </w:r>
      <w:r w:rsidR="001272BB" w:rsidRPr="001272BB">
        <w:rPr>
          <w:rFonts w:eastAsia="MS Mincho"/>
          <w:kern w:val="0"/>
          <w:szCs w:val="24"/>
        </w:rPr>
        <w:t>J</w:t>
      </w:r>
      <w:r w:rsidR="001272BB" w:rsidRPr="001272BB">
        <w:rPr>
          <w:rFonts w:eastAsia="MS Mincho"/>
          <w:kern w:val="0"/>
          <w:szCs w:val="24"/>
          <w:vertAlign w:val="subscript"/>
        </w:rPr>
        <w:t>AC</w:t>
      </w:r>
      <w:r w:rsidR="001272BB" w:rsidRPr="001272BB">
        <w:rPr>
          <w:rFonts w:eastAsia="MS Mincho"/>
          <w:i w:val="0"/>
          <w:kern w:val="0"/>
          <w:szCs w:val="24"/>
        </w:rPr>
        <w:t xml:space="preserve"> to upper-tropospheric PV just north of Iceland at 0000 UTC 10 August (0 h) (Fig. 12a) that grows in size and propagates southeastward to southwestern Scandinavia between an upper-tropospheric ridge (R1) </w:t>
      </w:r>
      <w:r w:rsidR="006E5421" w:rsidRPr="006E5421">
        <w:rPr>
          <w:rFonts w:eastAsia="MS Mincho"/>
          <w:i w:val="0"/>
          <w:kern w:val="0"/>
          <w:szCs w:val="24"/>
        </w:rPr>
        <w:t>over the North Atlantic</w:t>
      </w:r>
      <w:r w:rsidR="006E5421" w:rsidRPr="006E5421">
        <w:rPr>
          <w:rFonts w:eastAsia="MS Mincho"/>
          <w:kern w:val="0"/>
          <w:szCs w:val="24"/>
        </w:rPr>
        <w:t xml:space="preserve"> </w:t>
      </w:r>
      <w:r w:rsidR="001272BB" w:rsidRPr="001272BB">
        <w:rPr>
          <w:rFonts w:eastAsia="MS Mincho"/>
          <w:i w:val="0"/>
          <w:kern w:val="0"/>
          <w:szCs w:val="24"/>
        </w:rPr>
        <w:t xml:space="preserve">and an upper-tropospheric trough (T1) </w:t>
      </w:r>
      <w:r w:rsidR="006E5421" w:rsidRPr="006E5421">
        <w:rPr>
          <w:rFonts w:eastAsia="MS Mincho"/>
          <w:i w:val="0"/>
          <w:kern w:val="0"/>
          <w:szCs w:val="24"/>
        </w:rPr>
        <w:t xml:space="preserve">over the Norwegian Sea and western Eurasia </w:t>
      </w:r>
      <w:r w:rsidR="001272BB" w:rsidRPr="001272BB">
        <w:rPr>
          <w:rFonts w:eastAsia="MS Mincho"/>
          <w:i w:val="0"/>
          <w:kern w:val="0"/>
          <w:szCs w:val="24"/>
        </w:rPr>
        <w:t xml:space="preserve">during 1200 UTC 10–1200 UTC 11 August (12–36 h) (Figs. 12b–d). </w:t>
      </w:r>
      <w:r w:rsidR="00EB3642">
        <w:rPr>
          <w:rFonts w:eastAsia="MS Mincho"/>
          <w:i w:val="0"/>
          <w:kern w:val="0"/>
          <w:szCs w:val="24"/>
        </w:rPr>
        <w:t>A d</w:t>
      </w:r>
      <w:r w:rsidR="001272BB">
        <w:rPr>
          <w:rFonts w:eastAsia="MS Mincho"/>
          <w:i w:val="0"/>
          <w:kern w:val="0"/>
          <w:szCs w:val="24"/>
        </w:rPr>
        <w:t>ecrea</w:t>
      </w:r>
      <w:r w:rsidR="00EB3642">
        <w:rPr>
          <w:rFonts w:eastAsia="MS Mincho"/>
          <w:i w:val="0"/>
          <w:kern w:val="0"/>
          <w:szCs w:val="24"/>
        </w:rPr>
        <w:t>se in</w:t>
      </w:r>
      <w:r w:rsidR="001272BB" w:rsidRPr="001272BB">
        <w:rPr>
          <w:rFonts w:eastAsia="MS Mincho"/>
          <w:i w:val="0"/>
          <w:kern w:val="0"/>
          <w:szCs w:val="24"/>
        </w:rPr>
        <w:t xml:space="preserve"> upper-tropospheric PV in the region of negative sensitivity of </w:t>
      </w:r>
      <w:r w:rsidR="001272BB" w:rsidRPr="001272BB">
        <w:rPr>
          <w:rFonts w:eastAsia="MS Mincho"/>
          <w:iCs/>
          <w:kern w:val="0"/>
          <w:szCs w:val="24"/>
        </w:rPr>
        <w:t>J</w:t>
      </w:r>
      <w:r w:rsidR="001272BB" w:rsidRPr="001272BB">
        <w:rPr>
          <w:rFonts w:eastAsia="MS Mincho"/>
          <w:iCs/>
          <w:kern w:val="0"/>
          <w:szCs w:val="24"/>
          <w:vertAlign w:val="subscript"/>
        </w:rPr>
        <w:t>AC</w:t>
      </w:r>
      <w:r w:rsidR="001272BB" w:rsidRPr="001272BB">
        <w:rPr>
          <w:rFonts w:eastAsia="MS Mincho"/>
          <w:iCs/>
          <w:kern w:val="0"/>
          <w:szCs w:val="24"/>
        </w:rPr>
        <w:t xml:space="preserve"> </w:t>
      </w:r>
      <w:r w:rsidR="001272BB" w:rsidRPr="001272BB">
        <w:rPr>
          <w:rFonts w:eastAsia="MS Mincho"/>
          <w:i w:val="0"/>
          <w:kern w:val="0"/>
          <w:szCs w:val="24"/>
        </w:rPr>
        <w:t>to upper-tropospheric PV during</w:t>
      </w:r>
      <w:r w:rsidR="00DB188E">
        <w:rPr>
          <w:rFonts w:eastAsia="MS Mincho"/>
          <w:i w:val="0"/>
          <w:kern w:val="0"/>
          <w:szCs w:val="24"/>
        </w:rPr>
        <w:t xml:space="preserve"> </w:t>
      </w:r>
      <w:r w:rsidR="00DB188E" w:rsidRPr="00866AD1">
        <w:rPr>
          <w:rFonts w:eastAsia="MS Mincho"/>
          <w:i w:val="0"/>
          <w:kern w:val="0"/>
          <w:szCs w:val="24"/>
        </w:rPr>
        <w:t xml:space="preserve">1200 UTC 10–1200 UTC 11 August (12–36 h) </w:t>
      </w:r>
      <w:r w:rsidR="00EB3642">
        <w:rPr>
          <w:rFonts w:eastAsia="MS Mincho"/>
          <w:i w:val="0"/>
          <w:kern w:val="0"/>
          <w:szCs w:val="24"/>
        </w:rPr>
        <w:t>suggests</w:t>
      </w:r>
      <w:r w:rsidR="001272BB" w:rsidRPr="001272BB">
        <w:rPr>
          <w:rFonts w:eastAsia="MS Mincho"/>
          <w:i w:val="0"/>
          <w:kern w:val="0"/>
          <w:szCs w:val="24"/>
        </w:rPr>
        <w:t xml:space="preserve"> </w:t>
      </w:r>
      <w:r w:rsidR="00EB3642">
        <w:rPr>
          <w:rFonts w:eastAsia="MS Mincho"/>
          <w:i w:val="0"/>
          <w:kern w:val="0"/>
          <w:szCs w:val="24"/>
        </w:rPr>
        <w:t>a slight eastward shift in</w:t>
      </w:r>
      <w:r w:rsidR="001272BB" w:rsidRPr="001272BB">
        <w:rPr>
          <w:rFonts w:eastAsia="MS Mincho"/>
          <w:i w:val="0"/>
          <w:kern w:val="0"/>
          <w:szCs w:val="24"/>
        </w:rPr>
        <w:t xml:space="preserve"> R1 during this period</w:t>
      </w:r>
      <w:r w:rsidR="001272BB">
        <w:rPr>
          <w:rFonts w:eastAsia="MS Mincho"/>
          <w:i w:val="0"/>
          <w:kern w:val="0"/>
          <w:szCs w:val="24"/>
        </w:rPr>
        <w:t xml:space="preserve">. </w:t>
      </w:r>
      <w:r w:rsidR="00927186">
        <w:rPr>
          <w:rFonts w:eastAsia="MS Mincho"/>
          <w:i w:val="0"/>
          <w:kern w:val="0"/>
          <w:szCs w:val="24"/>
        </w:rPr>
        <w:t>T</w:t>
      </w:r>
      <w:r w:rsidR="00866AD1" w:rsidRPr="00866AD1">
        <w:rPr>
          <w:rFonts w:eastAsia="MS Mincho"/>
          <w:i w:val="0"/>
          <w:kern w:val="0"/>
          <w:szCs w:val="24"/>
        </w:rPr>
        <w:t xml:space="preserve">he region of negative sensitivity of </w:t>
      </w:r>
      <w:r w:rsidR="00866AD1" w:rsidRPr="00866AD1">
        <w:rPr>
          <w:rFonts w:eastAsia="MS Mincho"/>
          <w:iCs/>
          <w:kern w:val="0"/>
          <w:szCs w:val="24"/>
        </w:rPr>
        <w:t>J</w:t>
      </w:r>
      <w:r w:rsidR="00866AD1" w:rsidRPr="00866AD1">
        <w:rPr>
          <w:rFonts w:eastAsia="MS Mincho"/>
          <w:iCs/>
          <w:kern w:val="0"/>
          <w:szCs w:val="24"/>
          <w:vertAlign w:val="subscript"/>
        </w:rPr>
        <w:t>AC</w:t>
      </w:r>
      <w:r w:rsidR="00866AD1" w:rsidRPr="00866AD1">
        <w:rPr>
          <w:rFonts w:eastAsia="MS Mincho"/>
          <w:i w:val="0"/>
          <w:kern w:val="0"/>
          <w:szCs w:val="24"/>
        </w:rPr>
        <w:t xml:space="preserve"> to upper-tropospheric PV during 1200 UTC 10–1200 UTC 11 August (12–36 h) suggests that </w:t>
      </w:r>
      <w:r w:rsidR="00EB3642">
        <w:rPr>
          <w:rFonts w:eastAsia="MS Mincho"/>
          <w:i w:val="0"/>
          <w:kern w:val="0"/>
          <w:szCs w:val="24"/>
        </w:rPr>
        <w:t>a slight eastward shift in</w:t>
      </w:r>
      <w:r w:rsidR="00EB3642" w:rsidRPr="001272BB">
        <w:rPr>
          <w:rFonts w:eastAsia="MS Mincho"/>
          <w:i w:val="0"/>
          <w:kern w:val="0"/>
          <w:szCs w:val="24"/>
        </w:rPr>
        <w:t xml:space="preserve"> R1 </w:t>
      </w:r>
      <w:r w:rsidR="00866AD1" w:rsidRPr="00866AD1">
        <w:rPr>
          <w:rFonts w:eastAsia="MS Mincho"/>
          <w:i w:val="0"/>
          <w:kern w:val="0"/>
          <w:szCs w:val="24"/>
        </w:rPr>
        <w:t>during this period is associated with a stronger AC16</w:t>
      </w:r>
      <w:r w:rsidR="00A70E7A">
        <w:rPr>
          <w:rFonts w:eastAsia="MS Mincho"/>
          <w:i w:val="0"/>
          <w:kern w:val="0"/>
          <w:szCs w:val="24"/>
        </w:rPr>
        <w:t>,</w:t>
      </w:r>
      <w:r w:rsidR="00866AD1" w:rsidRPr="00866AD1">
        <w:rPr>
          <w:rFonts w:eastAsia="MS Mincho"/>
          <w:i w:val="0"/>
          <w:kern w:val="0"/>
          <w:szCs w:val="24"/>
        </w:rPr>
        <w:t xml:space="preserve"> and a correspondingly more accurate intensity forecast of AC16</w:t>
      </w:r>
      <w:r w:rsidR="00A70E7A">
        <w:rPr>
          <w:rFonts w:eastAsia="MS Mincho"/>
          <w:i w:val="0"/>
          <w:kern w:val="0"/>
          <w:szCs w:val="24"/>
        </w:rPr>
        <w:t xml:space="preserve">, </w:t>
      </w:r>
      <w:r w:rsidR="00A70E7A" w:rsidRPr="0069710A">
        <w:rPr>
          <w:i w:val="0"/>
          <w:iCs/>
        </w:rPr>
        <w:t>at 0000 UTC 15 August (120 h)</w:t>
      </w:r>
      <w:r w:rsidR="00866AD1" w:rsidRPr="00866AD1">
        <w:rPr>
          <w:rFonts w:eastAsia="MS Mincho"/>
          <w:i w:val="0"/>
          <w:kern w:val="0"/>
          <w:szCs w:val="24"/>
        </w:rPr>
        <w:t>.</w:t>
      </w:r>
    </w:p>
    <w:p w14:paraId="62615A07" w14:textId="3A196FAD" w:rsidR="00927186" w:rsidRDefault="00927186" w:rsidP="00927186">
      <w:pPr>
        <w:pStyle w:val="H2"/>
        <w:ind w:firstLine="360"/>
        <w:rPr>
          <w:rFonts w:eastAsia="MS Mincho"/>
          <w:i w:val="0"/>
          <w:iCs/>
          <w:szCs w:val="24"/>
        </w:rPr>
      </w:pPr>
      <w:r w:rsidRPr="00927186">
        <w:rPr>
          <w:rFonts w:eastAsia="MS Mincho"/>
          <w:i w:val="0"/>
          <w:iCs/>
          <w:szCs w:val="24"/>
        </w:rPr>
        <w:t xml:space="preserve">A region of positive sensitivity of </w:t>
      </w:r>
      <w:r w:rsidRPr="00927186">
        <w:rPr>
          <w:rFonts w:eastAsia="MS Mincho"/>
          <w:szCs w:val="24"/>
        </w:rPr>
        <w:t>J</w:t>
      </w:r>
      <w:r w:rsidRPr="00927186">
        <w:rPr>
          <w:rFonts w:eastAsia="MS Mincho"/>
          <w:szCs w:val="24"/>
          <w:vertAlign w:val="subscript"/>
        </w:rPr>
        <w:t>AC</w:t>
      </w:r>
      <w:r w:rsidRPr="00927186">
        <w:rPr>
          <w:rFonts w:eastAsia="MS Mincho"/>
          <w:i w:val="0"/>
          <w:iCs/>
          <w:szCs w:val="24"/>
        </w:rPr>
        <w:t xml:space="preserve"> to upper-tropospheric PV becomes established within and on the southeastern side of T1 during 0000–1200 UTC 12 August (48–60 h) (Figs. 13</w:t>
      </w:r>
      <w:proofErr w:type="gramStart"/>
      <w:r w:rsidRPr="00927186">
        <w:rPr>
          <w:rFonts w:eastAsia="MS Mincho"/>
          <w:i w:val="0"/>
          <w:iCs/>
          <w:szCs w:val="24"/>
        </w:rPr>
        <w:t>a,b</w:t>
      </w:r>
      <w:proofErr w:type="gramEnd"/>
      <w:r w:rsidRPr="00927186">
        <w:rPr>
          <w:rFonts w:eastAsia="MS Mincho"/>
          <w:i w:val="0"/>
          <w:iCs/>
          <w:szCs w:val="24"/>
        </w:rPr>
        <w:t>), grows in size and magnitude during 0000–1200 UTC 13 August (72–84 h) (Figs. 13c,d), and persists during 0000–1200 UTC 14 August (96–108 h) (Figs. 13e,f).</w:t>
      </w:r>
      <w:r>
        <w:rPr>
          <w:rFonts w:eastAsia="MS Mincho"/>
          <w:i w:val="0"/>
          <w:iCs/>
          <w:szCs w:val="24"/>
        </w:rPr>
        <w:t xml:space="preserve"> E</w:t>
      </w:r>
      <w:r w:rsidRPr="00927186">
        <w:rPr>
          <w:rFonts w:eastAsia="MS Mincho"/>
          <w:i w:val="0"/>
          <w:iCs/>
          <w:szCs w:val="24"/>
        </w:rPr>
        <w:t>mbedded within T1 is the TPV located upstream of AC16 that was discussed in section 3</w:t>
      </w:r>
      <w:r w:rsidR="00DB188E">
        <w:rPr>
          <w:rFonts w:eastAsia="MS Mincho"/>
          <w:i w:val="0"/>
          <w:iCs/>
          <w:szCs w:val="24"/>
        </w:rPr>
        <w:t>b</w:t>
      </w:r>
      <w:r w:rsidRPr="00927186">
        <w:rPr>
          <w:rFonts w:eastAsia="MS Mincho"/>
          <w:i w:val="0"/>
          <w:iCs/>
          <w:szCs w:val="24"/>
        </w:rPr>
        <w:t>.</w:t>
      </w:r>
      <w:r w:rsidR="00EE4506">
        <w:rPr>
          <w:rFonts w:eastAsia="MS Mincho"/>
          <w:i w:val="0"/>
          <w:iCs/>
          <w:szCs w:val="24"/>
        </w:rPr>
        <w:t xml:space="preserve"> </w:t>
      </w:r>
      <w:r>
        <w:rPr>
          <w:rFonts w:eastAsia="MS Mincho"/>
          <w:i w:val="0"/>
          <w:iCs/>
          <w:szCs w:val="24"/>
        </w:rPr>
        <w:t>A</w:t>
      </w:r>
      <w:r w:rsidRPr="00927186">
        <w:rPr>
          <w:rFonts w:eastAsia="MS Mincho"/>
          <w:i w:val="0"/>
          <w:iCs/>
          <w:szCs w:val="24"/>
        </w:rPr>
        <w:t xml:space="preserve"> region of negative sensitivity of </w:t>
      </w:r>
      <w:r w:rsidRPr="00927186">
        <w:rPr>
          <w:rFonts w:eastAsia="MS Mincho"/>
          <w:szCs w:val="24"/>
        </w:rPr>
        <w:t>J</w:t>
      </w:r>
      <w:r w:rsidRPr="00927186">
        <w:rPr>
          <w:rFonts w:eastAsia="MS Mincho"/>
          <w:szCs w:val="24"/>
          <w:vertAlign w:val="subscript"/>
        </w:rPr>
        <w:t>AC</w:t>
      </w:r>
      <w:r w:rsidRPr="00927186">
        <w:rPr>
          <w:rFonts w:eastAsia="MS Mincho"/>
          <w:i w:val="0"/>
          <w:iCs/>
          <w:szCs w:val="24"/>
        </w:rPr>
        <w:t xml:space="preserve"> to upper-tropospheric PV becomes established near the crest of an upper-tropospheric ridge (R2) located downstream of T1 during 0000 UTC 12–0000 UTC 13 August (48–72 h) (Figs. 13a–c), and grows in size and magnitude during 1200 UTC 13–1200 UTC 14 August (84–108 h) as R2 amplifies (Figs. 13d–f).</w:t>
      </w:r>
      <w:r>
        <w:rPr>
          <w:rFonts w:eastAsia="MS Mincho"/>
          <w:i w:val="0"/>
          <w:iCs/>
          <w:szCs w:val="24"/>
        </w:rPr>
        <w:t xml:space="preserve"> </w:t>
      </w:r>
      <w:r w:rsidRPr="00927186">
        <w:rPr>
          <w:rFonts w:eastAsia="MS Mincho"/>
          <w:i w:val="0"/>
          <w:iCs/>
          <w:szCs w:val="24"/>
        </w:rPr>
        <w:t>AC16 develops and intensifies between T1 and R2.</w:t>
      </w:r>
      <w:r>
        <w:rPr>
          <w:rFonts w:eastAsia="MS Mincho"/>
          <w:i w:val="0"/>
          <w:iCs/>
          <w:szCs w:val="24"/>
        </w:rPr>
        <w:t xml:space="preserve"> T</w:t>
      </w:r>
      <w:r w:rsidRPr="00927186">
        <w:rPr>
          <w:rFonts w:eastAsia="MS Mincho"/>
          <w:i w:val="0"/>
          <w:iCs/>
          <w:szCs w:val="24"/>
        </w:rPr>
        <w:t xml:space="preserve">he aforementioned regions of positive and negative sensitivity of </w:t>
      </w:r>
      <w:r w:rsidRPr="00927186">
        <w:rPr>
          <w:rFonts w:eastAsia="MS Mincho"/>
          <w:szCs w:val="24"/>
        </w:rPr>
        <w:t>J</w:t>
      </w:r>
      <w:r w:rsidRPr="00927186">
        <w:rPr>
          <w:rFonts w:eastAsia="MS Mincho"/>
          <w:szCs w:val="24"/>
          <w:vertAlign w:val="subscript"/>
        </w:rPr>
        <w:t>AC</w:t>
      </w:r>
      <w:r w:rsidRPr="00927186">
        <w:rPr>
          <w:rFonts w:eastAsia="MS Mincho"/>
          <w:i w:val="0"/>
          <w:iCs/>
          <w:szCs w:val="24"/>
        </w:rPr>
        <w:t xml:space="preserve"> to upper-tropospheric PV during 0000 UTC 12–1200 UTC 14 August (48–108 h) suggest that a more amplified T1, and a stronger embedded TPV, and a more amplified R2 </w:t>
      </w:r>
      <w:r w:rsidR="004360C9">
        <w:rPr>
          <w:rFonts w:eastAsia="MS Mincho"/>
          <w:i w:val="0"/>
          <w:iCs/>
          <w:szCs w:val="24"/>
        </w:rPr>
        <w:t xml:space="preserve">during this </w:t>
      </w:r>
      <w:r w:rsidR="004360C9">
        <w:rPr>
          <w:rFonts w:eastAsia="MS Mincho"/>
          <w:i w:val="0"/>
          <w:iCs/>
          <w:szCs w:val="24"/>
        </w:rPr>
        <w:lastRenderedPageBreak/>
        <w:t xml:space="preserve">period </w:t>
      </w:r>
      <w:r w:rsidRPr="00927186">
        <w:rPr>
          <w:rFonts w:eastAsia="MS Mincho"/>
          <w:i w:val="0"/>
          <w:iCs/>
          <w:szCs w:val="24"/>
        </w:rPr>
        <w:t xml:space="preserve">are associated </w:t>
      </w:r>
      <w:r w:rsidR="00A70E7A" w:rsidRPr="00866AD1">
        <w:rPr>
          <w:rFonts w:eastAsia="MS Mincho"/>
          <w:i w:val="0"/>
          <w:kern w:val="0"/>
          <w:szCs w:val="24"/>
        </w:rPr>
        <w:t>with a stronger AC16</w:t>
      </w:r>
      <w:r w:rsidR="00A70E7A">
        <w:rPr>
          <w:rFonts w:eastAsia="MS Mincho"/>
          <w:i w:val="0"/>
          <w:kern w:val="0"/>
          <w:szCs w:val="24"/>
        </w:rPr>
        <w:t>,</w:t>
      </w:r>
      <w:r w:rsidR="00A70E7A" w:rsidRPr="00866AD1">
        <w:rPr>
          <w:rFonts w:eastAsia="MS Mincho"/>
          <w:i w:val="0"/>
          <w:kern w:val="0"/>
          <w:szCs w:val="24"/>
        </w:rPr>
        <w:t xml:space="preserve"> and a correspondingly more accurate intensity forecast of AC16</w:t>
      </w:r>
      <w:r w:rsidR="00A70E7A">
        <w:rPr>
          <w:rFonts w:eastAsia="MS Mincho"/>
          <w:i w:val="0"/>
          <w:kern w:val="0"/>
          <w:szCs w:val="24"/>
        </w:rPr>
        <w:t xml:space="preserve">, </w:t>
      </w:r>
      <w:r w:rsidR="00A70E7A" w:rsidRPr="0069710A">
        <w:rPr>
          <w:i w:val="0"/>
          <w:iCs/>
        </w:rPr>
        <w:t>at 0000 UTC 15 August (120 h)</w:t>
      </w:r>
      <w:r w:rsidR="00A70E7A" w:rsidRPr="00866AD1">
        <w:rPr>
          <w:rFonts w:eastAsia="MS Mincho"/>
          <w:i w:val="0"/>
          <w:kern w:val="0"/>
          <w:szCs w:val="24"/>
        </w:rPr>
        <w:t>.</w:t>
      </w:r>
    </w:p>
    <w:p w14:paraId="460513EB" w14:textId="0437C2AE" w:rsidR="00AB21BF" w:rsidRPr="00927186" w:rsidRDefault="00AB21BF" w:rsidP="00927186">
      <w:pPr>
        <w:pStyle w:val="H2"/>
        <w:ind w:firstLine="360"/>
        <w:rPr>
          <w:rFonts w:eastAsia="MS Mincho"/>
          <w:i w:val="0"/>
          <w:iCs/>
          <w:szCs w:val="24"/>
        </w:rPr>
      </w:pPr>
      <w:r>
        <w:rPr>
          <w:rFonts w:eastAsia="MS Mincho"/>
          <w:i w:val="0"/>
          <w:iCs/>
          <w:szCs w:val="24"/>
        </w:rPr>
        <w:t>T</w:t>
      </w:r>
      <w:r w:rsidRPr="00AB21BF">
        <w:rPr>
          <w:rFonts w:eastAsia="MS Mincho"/>
          <w:i w:val="0"/>
          <w:iCs/>
          <w:szCs w:val="24"/>
        </w:rPr>
        <w:t xml:space="preserve">he sensitivity of </w:t>
      </w:r>
      <w:r w:rsidRPr="00AB21BF">
        <w:rPr>
          <w:rFonts w:eastAsia="MS Mincho"/>
          <w:szCs w:val="24"/>
        </w:rPr>
        <w:t>J</w:t>
      </w:r>
      <w:r w:rsidRPr="00AB21BF">
        <w:rPr>
          <w:rFonts w:eastAsia="MS Mincho"/>
          <w:szCs w:val="24"/>
          <w:vertAlign w:val="subscript"/>
        </w:rPr>
        <w:t>AC</w:t>
      </w:r>
      <w:r w:rsidRPr="00AB21BF">
        <w:rPr>
          <w:rFonts w:eastAsia="MS Mincho"/>
          <w:i w:val="0"/>
          <w:iCs/>
          <w:szCs w:val="24"/>
        </w:rPr>
        <w:t xml:space="preserve"> to 1000–500-hPa thickness is next examined to determine the sensitivity of the intensity forecast of AC16 to the thermal structure of the lower-to-middle troposphere.</w:t>
      </w:r>
      <w:r w:rsidRPr="00AB21BF">
        <w:rPr>
          <w:rFonts w:eastAsiaTheme="minorEastAsia"/>
          <w:i w:val="0"/>
          <w:kern w:val="0"/>
          <w:szCs w:val="24"/>
        </w:rPr>
        <w:t xml:space="preserve"> </w:t>
      </w:r>
      <w:r>
        <w:rPr>
          <w:rFonts w:eastAsia="MS Mincho"/>
          <w:i w:val="0"/>
          <w:iCs/>
          <w:szCs w:val="24"/>
        </w:rPr>
        <w:t>T</w:t>
      </w:r>
      <w:r w:rsidRPr="00AB21BF">
        <w:rPr>
          <w:rFonts w:eastAsia="MS Mincho"/>
          <w:i w:val="0"/>
          <w:iCs/>
          <w:szCs w:val="24"/>
        </w:rPr>
        <w:t xml:space="preserve">here is a region of negative sensitivity of </w:t>
      </w:r>
      <w:r w:rsidRPr="001D189E">
        <w:rPr>
          <w:rFonts w:eastAsia="MS Mincho"/>
          <w:szCs w:val="24"/>
        </w:rPr>
        <w:t>J</w:t>
      </w:r>
      <w:r w:rsidRPr="001D189E">
        <w:rPr>
          <w:rFonts w:eastAsia="MS Mincho"/>
          <w:szCs w:val="24"/>
          <w:vertAlign w:val="subscript"/>
        </w:rPr>
        <w:t>AC</w:t>
      </w:r>
      <w:r w:rsidRPr="00AB21BF">
        <w:rPr>
          <w:rFonts w:eastAsia="MS Mincho"/>
          <w:i w:val="0"/>
          <w:iCs/>
          <w:szCs w:val="24"/>
        </w:rPr>
        <w:t xml:space="preserve"> to 1000–500-hPa thickness near the base of a thermal trough over Scandinavia at 0000 UTC 13 August (72 h) (Fig. 14a)</w:t>
      </w:r>
      <w:r>
        <w:rPr>
          <w:rFonts w:eastAsia="MS Mincho"/>
          <w:i w:val="0"/>
          <w:iCs/>
          <w:szCs w:val="24"/>
        </w:rPr>
        <w:t>. The</w:t>
      </w:r>
      <w:r w:rsidRPr="00AB21BF">
        <w:rPr>
          <w:rFonts w:eastAsia="MS Mincho"/>
          <w:i w:val="0"/>
          <w:iCs/>
          <w:szCs w:val="24"/>
        </w:rPr>
        <w:t xml:space="preserve"> region of negative sensitivity of J</w:t>
      </w:r>
      <w:r w:rsidRPr="00AB21BF">
        <w:rPr>
          <w:rFonts w:eastAsia="MS Mincho"/>
          <w:i w:val="0"/>
          <w:iCs/>
          <w:szCs w:val="24"/>
          <w:vertAlign w:val="subscript"/>
        </w:rPr>
        <w:t>AC</w:t>
      </w:r>
      <w:r w:rsidRPr="00AB21BF">
        <w:rPr>
          <w:rFonts w:eastAsia="MS Mincho"/>
          <w:i w:val="0"/>
          <w:iCs/>
          <w:szCs w:val="24"/>
        </w:rPr>
        <w:t xml:space="preserve"> to 1000–500-hPa thickness persists and grows in size during 1200 UTC 13–1200 UTC 14 August (84–108 h) (Figs. 14b–d).</w:t>
      </w:r>
      <w:r w:rsidRPr="00AB21BF">
        <w:rPr>
          <w:rFonts w:eastAsiaTheme="minorEastAsia"/>
          <w:i w:val="0"/>
          <w:kern w:val="0"/>
          <w:szCs w:val="24"/>
        </w:rPr>
        <w:t xml:space="preserve"> </w:t>
      </w:r>
      <w:r>
        <w:rPr>
          <w:rFonts w:eastAsia="MS Mincho"/>
          <w:i w:val="0"/>
          <w:iCs/>
          <w:szCs w:val="24"/>
        </w:rPr>
        <w:t>T</w:t>
      </w:r>
      <w:r w:rsidRPr="00AB21BF">
        <w:rPr>
          <w:rFonts w:eastAsia="MS Mincho"/>
          <w:i w:val="0"/>
          <w:iCs/>
          <w:szCs w:val="24"/>
        </w:rPr>
        <w:t xml:space="preserve">here is a region of positive sensitivity of </w:t>
      </w:r>
      <w:r w:rsidRPr="00AB21BF">
        <w:rPr>
          <w:rFonts w:eastAsia="MS Mincho"/>
          <w:szCs w:val="24"/>
        </w:rPr>
        <w:t>J</w:t>
      </w:r>
      <w:r w:rsidRPr="00AB21BF">
        <w:rPr>
          <w:rFonts w:eastAsia="MS Mincho"/>
          <w:szCs w:val="24"/>
          <w:vertAlign w:val="subscript"/>
        </w:rPr>
        <w:t>AC</w:t>
      </w:r>
      <w:r w:rsidRPr="00AB21BF">
        <w:rPr>
          <w:rFonts w:eastAsia="MS Mincho"/>
          <w:i w:val="0"/>
          <w:iCs/>
          <w:szCs w:val="24"/>
        </w:rPr>
        <w:t xml:space="preserve"> to 1000–500-hPa thickness that increases in </w:t>
      </w:r>
      <w:r w:rsidR="00A70E7A">
        <w:rPr>
          <w:rFonts w:eastAsia="MS Mincho"/>
          <w:i w:val="0"/>
          <w:iCs/>
          <w:szCs w:val="24"/>
        </w:rPr>
        <w:t>size and magnitude</w:t>
      </w:r>
      <w:r w:rsidRPr="00AB21BF">
        <w:rPr>
          <w:rFonts w:eastAsia="MS Mincho"/>
          <w:i w:val="0"/>
          <w:iCs/>
          <w:szCs w:val="24"/>
        </w:rPr>
        <w:t xml:space="preserve"> near the crest of a thermal ridge located downstream of the thermal trough during 0000 UTC 13–1200 UTC 14 August (72–108 h) (Figs. 14a–d).</w:t>
      </w:r>
      <w:r>
        <w:rPr>
          <w:rFonts w:eastAsia="MS Mincho"/>
          <w:i w:val="0"/>
          <w:iCs/>
          <w:szCs w:val="24"/>
        </w:rPr>
        <w:t xml:space="preserve"> </w:t>
      </w:r>
      <w:r w:rsidRPr="00AB21BF">
        <w:rPr>
          <w:rFonts w:eastAsia="MS Mincho"/>
          <w:i w:val="0"/>
          <w:iCs/>
          <w:szCs w:val="24"/>
        </w:rPr>
        <w:t>AC16 intensifies between the thickness trough and ridge.</w:t>
      </w:r>
      <w:r>
        <w:rPr>
          <w:rFonts w:eastAsia="MS Mincho"/>
          <w:i w:val="0"/>
          <w:iCs/>
          <w:szCs w:val="24"/>
        </w:rPr>
        <w:t xml:space="preserve"> T</w:t>
      </w:r>
      <w:r w:rsidRPr="00AB21BF">
        <w:rPr>
          <w:rFonts w:eastAsia="MS Mincho"/>
          <w:i w:val="0"/>
          <w:iCs/>
          <w:szCs w:val="24"/>
        </w:rPr>
        <w:t xml:space="preserve">he aforementioned regions of negative and positive sensitivity of </w:t>
      </w:r>
      <w:r w:rsidRPr="00AB21BF">
        <w:rPr>
          <w:rFonts w:eastAsia="MS Mincho"/>
          <w:szCs w:val="24"/>
        </w:rPr>
        <w:t>J</w:t>
      </w:r>
      <w:r w:rsidRPr="00AB21BF">
        <w:rPr>
          <w:rFonts w:eastAsia="MS Mincho"/>
          <w:szCs w:val="24"/>
          <w:vertAlign w:val="subscript"/>
        </w:rPr>
        <w:t>AC</w:t>
      </w:r>
      <w:r w:rsidRPr="00AB21BF">
        <w:rPr>
          <w:rFonts w:eastAsia="MS Mincho"/>
          <w:i w:val="0"/>
          <w:iCs/>
          <w:szCs w:val="24"/>
        </w:rPr>
        <w:t xml:space="preserve"> to 1000–500-hPa thickness </w:t>
      </w:r>
      <w:r w:rsidR="004360C9" w:rsidRPr="00AB21BF">
        <w:rPr>
          <w:rFonts w:eastAsia="MS Mincho"/>
          <w:i w:val="0"/>
          <w:iCs/>
          <w:szCs w:val="24"/>
        </w:rPr>
        <w:t xml:space="preserve">during 0000 UTC 13–1200 UTC 14 August (72–108 h) </w:t>
      </w:r>
      <w:r w:rsidRPr="00AB21BF">
        <w:rPr>
          <w:rFonts w:eastAsia="MS Mincho"/>
          <w:i w:val="0"/>
          <w:iCs/>
          <w:szCs w:val="24"/>
        </w:rPr>
        <w:t>suggest that a more amplified thickness trough and a more amplified thickness ridge</w:t>
      </w:r>
      <w:r w:rsidR="004360C9">
        <w:rPr>
          <w:rFonts w:eastAsia="MS Mincho"/>
          <w:i w:val="0"/>
          <w:iCs/>
          <w:szCs w:val="24"/>
        </w:rPr>
        <w:t xml:space="preserve"> during this period</w:t>
      </w:r>
      <w:r w:rsidRPr="00AB21BF">
        <w:rPr>
          <w:rFonts w:eastAsia="MS Mincho"/>
          <w:i w:val="0"/>
          <w:iCs/>
          <w:szCs w:val="24"/>
        </w:rPr>
        <w:t xml:space="preserve"> are associated </w:t>
      </w:r>
      <w:r w:rsidR="00A70E7A" w:rsidRPr="00866AD1">
        <w:rPr>
          <w:rFonts w:eastAsia="MS Mincho"/>
          <w:i w:val="0"/>
          <w:kern w:val="0"/>
          <w:szCs w:val="24"/>
        </w:rPr>
        <w:t>with a stronger AC16</w:t>
      </w:r>
      <w:r w:rsidR="00A70E7A">
        <w:rPr>
          <w:rFonts w:eastAsia="MS Mincho"/>
          <w:i w:val="0"/>
          <w:kern w:val="0"/>
          <w:szCs w:val="24"/>
        </w:rPr>
        <w:t>,</w:t>
      </w:r>
      <w:r w:rsidR="00A70E7A" w:rsidRPr="00866AD1">
        <w:rPr>
          <w:rFonts w:eastAsia="MS Mincho"/>
          <w:i w:val="0"/>
          <w:kern w:val="0"/>
          <w:szCs w:val="24"/>
        </w:rPr>
        <w:t xml:space="preserve"> and a correspondingly more accurate intensity forecast of AC16</w:t>
      </w:r>
      <w:r w:rsidR="00A70E7A">
        <w:rPr>
          <w:rFonts w:eastAsia="MS Mincho"/>
          <w:i w:val="0"/>
          <w:kern w:val="0"/>
          <w:szCs w:val="24"/>
        </w:rPr>
        <w:t xml:space="preserve">, </w:t>
      </w:r>
      <w:r w:rsidR="00A70E7A" w:rsidRPr="0069710A">
        <w:rPr>
          <w:i w:val="0"/>
          <w:iCs/>
        </w:rPr>
        <w:t>at 0000 UTC 15 August (120 h)</w:t>
      </w:r>
      <w:r w:rsidR="00A70E7A" w:rsidRPr="00866AD1">
        <w:rPr>
          <w:rFonts w:eastAsia="MS Mincho"/>
          <w:i w:val="0"/>
          <w:kern w:val="0"/>
          <w:szCs w:val="24"/>
        </w:rPr>
        <w:t>.</w:t>
      </w:r>
    </w:p>
    <w:p w14:paraId="7F3EC5B0" w14:textId="777597FF" w:rsidR="00927186" w:rsidRDefault="00AB21BF" w:rsidP="00244044">
      <w:pPr>
        <w:pStyle w:val="H2"/>
        <w:ind w:firstLine="360"/>
        <w:rPr>
          <w:rFonts w:eastAsia="MS Mincho"/>
          <w:i w:val="0"/>
          <w:kern w:val="0"/>
          <w:szCs w:val="24"/>
        </w:rPr>
      </w:pPr>
      <w:r>
        <w:rPr>
          <w:rFonts w:eastAsia="MS Mincho"/>
          <w:i w:val="0"/>
          <w:kern w:val="0"/>
          <w:szCs w:val="24"/>
        </w:rPr>
        <w:t>T</w:t>
      </w:r>
      <w:r w:rsidRPr="00AB21BF">
        <w:rPr>
          <w:rFonts w:eastAsia="MS Mincho"/>
          <w:i w:val="0"/>
          <w:kern w:val="0"/>
          <w:szCs w:val="24"/>
        </w:rPr>
        <w:t xml:space="preserve">he sensitivity of </w:t>
      </w:r>
      <w:r w:rsidRPr="00AB21BF">
        <w:rPr>
          <w:rFonts w:eastAsia="MS Mincho"/>
          <w:kern w:val="0"/>
          <w:szCs w:val="24"/>
        </w:rPr>
        <w:t>J</w:t>
      </w:r>
      <w:r w:rsidRPr="00AB21BF">
        <w:rPr>
          <w:rFonts w:eastAsia="MS Mincho"/>
          <w:kern w:val="0"/>
          <w:szCs w:val="24"/>
          <w:vertAlign w:val="subscript"/>
        </w:rPr>
        <w:t>AC</w:t>
      </w:r>
      <w:r w:rsidRPr="00AB21BF">
        <w:rPr>
          <w:rFonts w:eastAsia="MS Mincho"/>
          <w:i w:val="0"/>
          <w:kern w:val="0"/>
          <w:szCs w:val="24"/>
        </w:rPr>
        <w:t xml:space="preserve"> to lower-tropospheric IMFC</w:t>
      </w:r>
      <w:r>
        <w:rPr>
          <w:rFonts w:eastAsia="MS Mincho"/>
          <w:i w:val="0"/>
          <w:kern w:val="0"/>
          <w:szCs w:val="24"/>
        </w:rPr>
        <w:t xml:space="preserve"> is lastly examined</w:t>
      </w:r>
      <w:r w:rsidRPr="00AB21BF">
        <w:rPr>
          <w:rFonts w:eastAsia="MS Mincho"/>
          <w:i w:val="0"/>
          <w:kern w:val="0"/>
          <w:szCs w:val="24"/>
        </w:rPr>
        <w:t xml:space="preserve"> to determine the sensitivity of the intensity forecast of AC16 to latent heating.</w:t>
      </w:r>
      <w:r>
        <w:rPr>
          <w:rFonts w:eastAsia="MS Mincho"/>
          <w:i w:val="0"/>
          <w:kern w:val="0"/>
          <w:szCs w:val="24"/>
        </w:rPr>
        <w:t xml:space="preserve"> </w:t>
      </w:r>
      <w:r w:rsidR="00216382" w:rsidRPr="00216382">
        <w:rPr>
          <w:rFonts w:eastAsia="MS Mincho"/>
          <w:i w:val="0"/>
          <w:kern w:val="0"/>
          <w:szCs w:val="24"/>
        </w:rPr>
        <w:t xml:space="preserve">At 0000 UTC 13 August (72 h), </w:t>
      </w:r>
      <w:r w:rsidR="00216382">
        <w:rPr>
          <w:rFonts w:eastAsia="MS Mincho"/>
          <w:i w:val="0"/>
          <w:kern w:val="0"/>
          <w:szCs w:val="24"/>
        </w:rPr>
        <w:t>there is</w:t>
      </w:r>
      <w:r w:rsidR="00216382" w:rsidRPr="00216382">
        <w:rPr>
          <w:rFonts w:eastAsia="MS Mincho"/>
          <w:i w:val="0"/>
          <w:kern w:val="0"/>
          <w:szCs w:val="24"/>
        </w:rPr>
        <w:t xml:space="preserve"> region of lower-tropospheric IMFC</w:t>
      </w:r>
      <w:r w:rsidR="00810C84">
        <w:rPr>
          <w:rFonts w:eastAsia="MS Mincho"/>
          <w:i w:val="0"/>
          <w:kern w:val="0"/>
          <w:szCs w:val="24"/>
        </w:rPr>
        <w:t xml:space="preserve"> associated with AC16 </w:t>
      </w:r>
      <w:r w:rsidR="00216382" w:rsidRPr="00216382">
        <w:rPr>
          <w:rFonts w:eastAsia="MS Mincho"/>
          <w:i w:val="0"/>
          <w:kern w:val="0"/>
          <w:szCs w:val="24"/>
        </w:rPr>
        <w:t xml:space="preserve">on the northern flank of </w:t>
      </w:r>
      <w:r w:rsidR="00216382">
        <w:rPr>
          <w:rFonts w:eastAsia="MS Mincho"/>
          <w:i w:val="0"/>
          <w:kern w:val="0"/>
          <w:szCs w:val="24"/>
        </w:rPr>
        <w:t>a</w:t>
      </w:r>
      <w:r w:rsidR="00216382" w:rsidRPr="00216382">
        <w:rPr>
          <w:rFonts w:eastAsia="MS Mincho"/>
          <w:i w:val="0"/>
          <w:kern w:val="0"/>
          <w:szCs w:val="24"/>
        </w:rPr>
        <w:t xml:space="preserve"> moisture corridor extending from western Russia into the Kara Sea (Fig. </w:t>
      </w:r>
      <w:r w:rsidR="00216382">
        <w:rPr>
          <w:rFonts w:eastAsia="MS Mincho"/>
          <w:i w:val="0"/>
          <w:kern w:val="0"/>
          <w:szCs w:val="24"/>
        </w:rPr>
        <w:t>15a</w:t>
      </w:r>
      <w:r w:rsidR="00216382" w:rsidRPr="00216382">
        <w:rPr>
          <w:rFonts w:eastAsia="MS Mincho"/>
          <w:i w:val="0"/>
          <w:kern w:val="0"/>
          <w:szCs w:val="24"/>
        </w:rPr>
        <w:t>)</w:t>
      </w:r>
      <w:r w:rsidR="00216382">
        <w:rPr>
          <w:rFonts w:eastAsia="MS Mincho"/>
          <w:i w:val="0"/>
          <w:kern w:val="0"/>
          <w:szCs w:val="24"/>
        </w:rPr>
        <w:t>.</w:t>
      </w:r>
      <w:r w:rsidR="00810C84">
        <w:rPr>
          <w:rFonts w:eastAsia="MS Mincho"/>
          <w:i w:val="0"/>
          <w:kern w:val="0"/>
          <w:szCs w:val="24"/>
        </w:rPr>
        <w:t xml:space="preserve"> The </w:t>
      </w:r>
      <w:r w:rsidR="00810C84" w:rsidRPr="00216382">
        <w:rPr>
          <w:rFonts w:eastAsia="MS Mincho"/>
          <w:i w:val="0"/>
          <w:kern w:val="0"/>
          <w:szCs w:val="24"/>
        </w:rPr>
        <w:t>region of lower-tropospheric IMFC</w:t>
      </w:r>
      <w:r w:rsidR="00810C84">
        <w:rPr>
          <w:rFonts w:eastAsia="MS Mincho"/>
          <w:i w:val="0"/>
          <w:kern w:val="0"/>
          <w:szCs w:val="24"/>
        </w:rPr>
        <w:t xml:space="preserve"> associated with AC16 </w:t>
      </w:r>
      <w:r w:rsidR="001D189E">
        <w:rPr>
          <w:rFonts w:eastAsia="MS Mincho"/>
          <w:i w:val="0"/>
          <w:kern w:val="0"/>
          <w:szCs w:val="24"/>
        </w:rPr>
        <w:t>and the moisture corridor move</w:t>
      </w:r>
      <w:r w:rsidR="00810C84">
        <w:rPr>
          <w:rFonts w:eastAsia="MS Mincho"/>
          <w:i w:val="0"/>
          <w:kern w:val="0"/>
          <w:szCs w:val="24"/>
        </w:rPr>
        <w:t xml:space="preserve"> eastward along the </w:t>
      </w:r>
      <w:r w:rsidR="004360C9">
        <w:rPr>
          <w:rFonts w:eastAsia="MS Mincho"/>
          <w:i w:val="0"/>
          <w:kern w:val="0"/>
          <w:szCs w:val="24"/>
        </w:rPr>
        <w:t>north</w:t>
      </w:r>
      <w:r w:rsidR="00810C84">
        <w:rPr>
          <w:rFonts w:eastAsia="MS Mincho"/>
          <w:i w:val="0"/>
          <w:kern w:val="0"/>
          <w:szCs w:val="24"/>
        </w:rPr>
        <w:t xml:space="preserve"> coast of Russia during 1200 UTC 13–1200 UTC 14 August (Figs. 15b–d). </w:t>
      </w:r>
      <w:r>
        <w:rPr>
          <w:rFonts w:eastAsia="MS Mincho"/>
          <w:i w:val="0"/>
          <w:kern w:val="0"/>
          <w:szCs w:val="24"/>
        </w:rPr>
        <w:t>T</w:t>
      </w:r>
      <w:r w:rsidRPr="00AB21BF">
        <w:rPr>
          <w:rFonts w:eastAsia="MS Mincho"/>
          <w:i w:val="0"/>
          <w:kern w:val="0"/>
          <w:szCs w:val="24"/>
        </w:rPr>
        <w:t xml:space="preserve">here is small region </w:t>
      </w:r>
      <w:r w:rsidR="00810C84">
        <w:rPr>
          <w:rFonts w:eastAsia="MS Mincho"/>
          <w:i w:val="0"/>
          <w:kern w:val="0"/>
          <w:szCs w:val="24"/>
        </w:rPr>
        <w:t xml:space="preserve">of </w:t>
      </w:r>
      <w:r w:rsidRPr="00AB21BF">
        <w:rPr>
          <w:rFonts w:eastAsia="MS Mincho"/>
          <w:i w:val="0"/>
          <w:kern w:val="0"/>
          <w:szCs w:val="24"/>
        </w:rPr>
        <w:t xml:space="preserve">positive sensitivity of </w:t>
      </w:r>
      <w:r w:rsidRPr="00AB21BF">
        <w:rPr>
          <w:rFonts w:eastAsia="MS Mincho"/>
          <w:kern w:val="0"/>
          <w:szCs w:val="24"/>
        </w:rPr>
        <w:t>J</w:t>
      </w:r>
      <w:r w:rsidRPr="00AB21BF">
        <w:rPr>
          <w:rFonts w:eastAsia="MS Mincho"/>
          <w:kern w:val="0"/>
          <w:szCs w:val="24"/>
          <w:vertAlign w:val="subscript"/>
        </w:rPr>
        <w:t>AC</w:t>
      </w:r>
      <w:r w:rsidRPr="00AB21BF">
        <w:rPr>
          <w:rFonts w:eastAsia="MS Mincho"/>
          <w:i w:val="0"/>
          <w:kern w:val="0"/>
          <w:szCs w:val="24"/>
        </w:rPr>
        <w:t xml:space="preserve"> to lower-tropospheric IMFC northeast of Scandinavia at 0000 UTC 13 August (72 h) (Fig. 15a)</w:t>
      </w:r>
      <w:r w:rsidR="00810C84">
        <w:rPr>
          <w:rFonts w:eastAsia="MS Mincho"/>
          <w:i w:val="0"/>
          <w:kern w:val="0"/>
          <w:szCs w:val="24"/>
        </w:rPr>
        <w:t xml:space="preserve"> that </w:t>
      </w:r>
      <w:r w:rsidRPr="00AB21BF">
        <w:rPr>
          <w:rFonts w:eastAsia="MS Mincho"/>
          <w:i w:val="0"/>
          <w:kern w:val="0"/>
          <w:szCs w:val="24"/>
        </w:rPr>
        <w:t xml:space="preserve">increases in </w:t>
      </w:r>
      <w:r w:rsidR="004360C9">
        <w:rPr>
          <w:rFonts w:eastAsia="MS Mincho"/>
          <w:i w:val="0"/>
          <w:kern w:val="0"/>
          <w:szCs w:val="24"/>
        </w:rPr>
        <w:t>size and magnitude</w:t>
      </w:r>
      <w:r w:rsidRPr="00AB21BF">
        <w:rPr>
          <w:rFonts w:eastAsia="MS Mincho"/>
          <w:i w:val="0"/>
          <w:kern w:val="0"/>
          <w:szCs w:val="24"/>
        </w:rPr>
        <w:t xml:space="preserve"> over the northwestern flank of </w:t>
      </w:r>
      <w:r w:rsidR="00810C84">
        <w:rPr>
          <w:rFonts w:eastAsia="MS Mincho"/>
          <w:i w:val="0"/>
          <w:kern w:val="0"/>
          <w:szCs w:val="24"/>
        </w:rPr>
        <w:t>the</w:t>
      </w:r>
      <w:r w:rsidRPr="00AB21BF">
        <w:rPr>
          <w:rFonts w:eastAsia="MS Mincho"/>
          <w:i w:val="0"/>
          <w:kern w:val="0"/>
          <w:szCs w:val="24"/>
        </w:rPr>
        <w:t xml:space="preserve"> region of lower-tropospheric IMFC associated with AC16 during 1200 UTC 13–1200 UTC 14 August (84–108 h) (Figs. 15b–d).</w:t>
      </w:r>
      <w:r w:rsidR="00EC00E2" w:rsidRPr="00EC00E2">
        <w:rPr>
          <w:rFonts w:eastAsiaTheme="minorEastAsia"/>
          <w:i w:val="0"/>
          <w:kern w:val="0"/>
          <w:szCs w:val="24"/>
        </w:rPr>
        <w:t xml:space="preserve"> </w:t>
      </w:r>
      <w:r w:rsidR="00EC00E2">
        <w:rPr>
          <w:rFonts w:eastAsia="MS Mincho"/>
          <w:i w:val="0"/>
          <w:kern w:val="0"/>
          <w:szCs w:val="24"/>
        </w:rPr>
        <w:t>T</w:t>
      </w:r>
      <w:r w:rsidR="00EC00E2" w:rsidRPr="00EC00E2">
        <w:rPr>
          <w:rFonts w:eastAsia="MS Mincho"/>
          <w:i w:val="0"/>
          <w:kern w:val="0"/>
          <w:szCs w:val="24"/>
        </w:rPr>
        <w:t xml:space="preserve">he region of positive sensitivity of </w:t>
      </w:r>
      <w:r w:rsidR="00EC00E2" w:rsidRPr="00EC00E2">
        <w:rPr>
          <w:rFonts w:eastAsia="MS Mincho"/>
          <w:kern w:val="0"/>
          <w:szCs w:val="24"/>
        </w:rPr>
        <w:t>J</w:t>
      </w:r>
      <w:r w:rsidR="00EC00E2" w:rsidRPr="00EC00E2">
        <w:rPr>
          <w:rFonts w:eastAsia="MS Mincho"/>
          <w:kern w:val="0"/>
          <w:szCs w:val="24"/>
          <w:vertAlign w:val="subscript"/>
        </w:rPr>
        <w:t>AC</w:t>
      </w:r>
      <w:r w:rsidR="00EC00E2" w:rsidRPr="00EC00E2">
        <w:rPr>
          <w:rFonts w:eastAsia="MS Mincho"/>
          <w:i w:val="0"/>
          <w:kern w:val="0"/>
          <w:szCs w:val="24"/>
        </w:rPr>
        <w:t xml:space="preserve"> to lower-tropospheric IMFC </w:t>
      </w:r>
      <w:r w:rsidR="004360C9" w:rsidRPr="00AB21BF">
        <w:rPr>
          <w:rFonts w:eastAsia="MS Mincho"/>
          <w:i w:val="0"/>
          <w:kern w:val="0"/>
          <w:szCs w:val="24"/>
        </w:rPr>
        <w:t xml:space="preserve">during 1200 UTC 13–1200 UTC 14 August (84–108 h) </w:t>
      </w:r>
      <w:r w:rsidR="00EC00E2" w:rsidRPr="00EC00E2">
        <w:rPr>
          <w:rFonts w:eastAsia="MS Mincho"/>
          <w:i w:val="0"/>
          <w:kern w:val="0"/>
          <w:szCs w:val="24"/>
        </w:rPr>
        <w:t xml:space="preserve">suggests that a northwestward shift in the region of latent heating associated with AC16 during this period is associated </w:t>
      </w:r>
      <w:r w:rsidR="00A70E7A" w:rsidRPr="00866AD1">
        <w:rPr>
          <w:rFonts w:eastAsia="MS Mincho"/>
          <w:i w:val="0"/>
          <w:kern w:val="0"/>
          <w:szCs w:val="24"/>
        </w:rPr>
        <w:t>with a stronger AC16</w:t>
      </w:r>
      <w:r w:rsidR="00A70E7A">
        <w:rPr>
          <w:rFonts w:eastAsia="MS Mincho"/>
          <w:i w:val="0"/>
          <w:kern w:val="0"/>
          <w:szCs w:val="24"/>
        </w:rPr>
        <w:t>,</w:t>
      </w:r>
      <w:r w:rsidR="00A70E7A" w:rsidRPr="00866AD1">
        <w:rPr>
          <w:rFonts w:eastAsia="MS Mincho"/>
          <w:i w:val="0"/>
          <w:kern w:val="0"/>
          <w:szCs w:val="24"/>
        </w:rPr>
        <w:t xml:space="preserve"> and a correspondingly more accurate intensity forecast of AC16</w:t>
      </w:r>
      <w:r w:rsidR="00A70E7A">
        <w:rPr>
          <w:rFonts w:eastAsia="MS Mincho"/>
          <w:i w:val="0"/>
          <w:kern w:val="0"/>
          <w:szCs w:val="24"/>
        </w:rPr>
        <w:t xml:space="preserve">, </w:t>
      </w:r>
      <w:r w:rsidR="00A70E7A" w:rsidRPr="0069710A">
        <w:rPr>
          <w:i w:val="0"/>
          <w:iCs/>
        </w:rPr>
        <w:t>at 0000 UTC 15 August (120 h)</w:t>
      </w:r>
      <w:r w:rsidR="00A70E7A" w:rsidRPr="00866AD1">
        <w:rPr>
          <w:rFonts w:eastAsia="MS Mincho"/>
          <w:i w:val="0"/>
          <w:kern w:val="0"/>
          <w:szCs w:val="24"/>
        </w:rPr>
        <w:t>.</w:t>
      </w:r>
    </w:p>
    <w:p w14:paraId="083977DD" w14:textId="3EAB0F14" w:rsidR="00183528" w:rsidRDefault="008D7F55" w:rsidP="00691A1B">
      <w:pPr>
        <w:pStyle w:val="H2"/>
        <w:ind w:firstLine="360"/>
        <w:rPr>
          <w:rFonts w:eastAsia="MS Mincho"/>
          <w:i w:val="0"/>
          <w:kern w:val="0"/>
          <w:szCs w:val="24"/>
        </w:rPr>
      </w:pPr>
      <w:r>
        <w:rPr>
          <w:rFonts w:eastAsia="MS Mincho"/>
          <w:i w:val="0"/>
          <w:kern w:val="0"/>
          <w:szCs w:val="24"/>
        </w:rPr>
        <w:lastRenderedPageBreak/>
        <w:t xml:space="preserve">Based on the ESA of AC16, the following speculations are made. </w:t>
      </w:r>
      <w:r w:rsidR="00A82668" w:rsidRPr="00A82668">
        <w:rPr>
          <w:rFonts w:eastAsia="Times"/>
          <w:i w:val="0"/>
          <w:kern w:val="0"/>
        </w:rPr>
        <w:t xml:space="preserve">A </w:t>
      </w:r>
      <w:r w:rsidR="00EB3642">
        <w:rPr>
          <w:rFonts w:eastAsia="Times"/>
          <w:i w:val="0"/>
          <w:kern w:val="0"/>
        </w:rPr>
        <w:t xml:space="preserve">slight eastward shift </w:t>
      </w:r>
      <w:r w:rsidR="00BA74C1">
        <w:rPr>
          <w:rFonts w:eastAsia="Times"/>
          <w:i w:val="0"/>
          <w:kern w:val="0"/>
        </w:rPr>
        <w:t>in</w:t>
      </w:r>
      <w:r w:rsidR="00EB3642">
        <w:rPr>
          <w:rFonts w:eastAsia="Times"/>
          <w:i w:val="0"/>
          <w:kern w:val="0"/>
        </w:rPr>
        <w:t xml:space="preserve"> </w:t>
      </w:r>
      <w:r w:rsidR="00A82668" w:rsidRPr="00A82668">
        <w:rPr>
          <w:rFonts w:eastAsia="Times"/>
          <w:i w:val="0"/>
          <w:kern w:val="0"/>
        </w:rPr>
        <w:t xml:space="preserve">R1 building into western Eurasia may be associated with a more amplified T1, and a stronger embedded TPV, </w:t>
      </w:r>
      <w:r w:rsidR="00A82668">
        <w:rPr>
          <w:rFonts w:eastAsia="Times"/>
          <w:i w:val="0"/>
          <w:kern w:val="0"/>
        </w:rPr>
        <w:t>upstream of AC16.</w:t>
      </w:r>
      <w:r w:rsidR="00A82668" w:rsidRPr="00A82668">
        <w:rPr>
          <w:rFonts w:eastAsia="Times"/>
          <w:i w:val="0"/>
          <w:kern w:val="0"/>
        </w:rPr>
        <w:t xml:space="preserve"> </w:t>
      </w:r>
      <w:r>
        <w:rPr>
          <w:rFonts w:eastAsia="MS Mincho"/>
          <w:i w:val="0"/>
          <w:kern w:val="0"/>
          <w:szCs w:val="24"/>
        </w:rPr>
        <w:t>A</w:t>
      </w:r>
      <w:r w:rsidR="00EC00E2" w:rsidRPr="00EC00E2">
        <w:rPr>
          <w:rFonts w:eastAsia="MS Mincho"/>
          <w:i w:val="0"/>
          <w:kern w:val="0"/>
          <w:szCs w:val="24"/>
        </w:rPr>
        <w:t xml:space="preserve"> more amplified T1, and a stronger embedded TPV, upstream of AC16 may be associated with greater intensification of AC16 and greater downstream amplification of R2.</w:t>
      </w:r>
      <w:r w:rsidR="00F02C0C">
        <w:rPr>
          <w:rFonts w:eastAsia="MS Mincho"/>
          <w:i w:val="0"/>
          <w:kern w:val="0"/>
          <w:szCs w:val="24"/>
        </w:rPr>
        <w:t xml:space="preserve"> </w:t>
      </w:r>
      <w:r>
        <w:rPr>
          <w:rFonts w:eastAsia="MS Mincho"/>
          <w:i w:val="0"/>
          <w:kern w:val="0"/>
          <w:szCs w:val="24"/>
        </w:rPr>
        <w:t>A</w:t>
      </w:r>
      <w:r w:rsidR="00F02C0C" w:rsidRPr="00F02C0C">
        <w:rPr>
          <w:rFonts w:eastAsia="MS Mincho"/>
          <w:i w:val="0"/>
          <w:kern w:val="0"/>
          <w:szCs w:val="24"/>
        </w:rPr>
        <w:t xml:space="preserve"> stronger AC16 may be associated with a stronger lower-to-</w:t>
      </w:r>
      <w:proofErr w:type="spellStart"/>
      <w:r w:rsidR="00F02C0C" w:rsidRPr="00F02C0C">
        <w:rPr>
          <w:rFonts w:eastAsia="MS Mincho"/>
          <w:i w:val="0"/>
          <w:kern w:val="0"/>
          <w:szCs w:val="24"/>
        </w:rPr>
        <w:t>midtropospheric</w:t>
      </w:r>
      <w:proofErr w:type="spellEnd"/>
      <w:r w:rsidR="00F02C0C" w:rsidRPr="00F02C0C">
        <w:rPr>
          <w:rFonts w:eastAsia="MS Mincho"/>
          <w:i w:val="0"/>
          <w:kern w:val="0"/>
          <w:szCs w:val="24"/>
        </w:rPr>
        <w:t xml:space="preserve"> circulation that contributes to a more amplified thickness trough upstream of AC16, a more amplified thickness ridge downstream of AC16, and to a northwestward shift of a region of latent heating associated with AC16.</w:t>
      </w:r>
      <w:r w:rsidR="00F02C0C" w:rsidRPr="00F02C0C">
        <w:t xml:space="preserve"> </w:t>
      </w:r>
      <w:r w:rsidR="00FC1451" w:rsidRPr="00FC1451">
        <w:rPr>
          <w:i w:val="0"/>
          <w:iCs/>
        </w:rPr>
        <w:t xml:space="preserve">Based on Sutcliffe development theory, cyclogenesis is favored between a thickness trough and ridge, in response to the advection of thermal vorticity by the thermal wind (e.g., Carlson 1998, section 8.1). </w:t>
      </w:r>
      <w:r w:rsidR="00FC1451">
        <w:rPr>
          <w:rFonts w:eastAsia="MS Mincho"/>
          <w:i w:val="0"/>
          <w:kern w:val="0"/>
          <w:szCs w:val="24"/>
        </w:rPr>
        <w:t>It is hypothesized that a</w:t>
      </w:r>
      <w:r>
        <w:rPr>
          <w:rFonts w:eastAsia="MS Mincho"/>
          <w:i w:val="0"/>
          <w:kern w:val="0"/>
          <w:szCs w:val="24"/>
        </w:rPr>
        <w:t xml:space="preserve"> </w:t>
      </w:r>
      <w:r w:rsidR="00F02C0C" w:rsidRPr="00F02C0C">
        <w:rPr>
          <w:rFonts w:eastAsia="MS Mincho"/>
          <w:i w:val="0"/>
          <w:kern w:val="0"/>
          <w:szCs w:val="24"/>
        </w:rPr>
        <w:t>more amplified thickness trough</w:t>
      </w:r>
      <w:r w:rsidR="00FC1451">
        <w:rPr>
          <w:rFonts w:eastAsia="MS Mincho"/>
          <w:i w:val="0"/>
          <w:kern w:val="0"/>
          <w:szCs w:val="24"/>
        </w:rPr>
        <w:t xml:space="preserve"> upstream of AC16</w:t>
      </w:r>
      <w:r w:rsidR="00F02C0C" w:rsidRPr="00F02C0C">
        <w:rPr>
          <w:rFonts w:eastAsia="MS Mincho"/>
          <w:i w:val="0"/>
          <w:kern w:val="0"/>
          <w:szCs w:val="24"/>
        </w:rPr>
        <w:t xml:space="preserve"> and</w:t>
      </w:r>
      <w:r w:rsidR="00FC1451">
        <w:rPr>
          <w:rFonts w:eastAsia="MS Mincho"/>
          <w:i w:val="0"/>
          <w:kern w:val="0"/>
          <w:szCs w:val="24"/>
        </w:rPr>
        <w:t xml:space="preserve"> a more amplified thickness</w:t>
      </w:r>
      <w:r w:rsidR="00F02C0C" w:rsidRPr="00F02C0C">
        <w:rPr>
          <w:rFonts w:eastAsia="MS Mincho"/>
          <w:i w:val="0"/>
          <w:kern w:val="0"/>
          <w:szCs w:val="24"/>
        </w:rPr>
        <w:t xml:space="preserve"> ridge</w:t>
      </w:r>
      <w:r w:rsidR="00FC1451">
        <w:rPr>
          <w:rFonts w:eastAsia="MS Mincho"/>
          <w:i w:val="0"/>
          <w:kern w:val="0"/>
          <w:szCs w:val="24"/>
        </w:rPr>
        <w:t xml:space="preserve"> downstream of AC16</w:t>
      </w:r>
      <w:r w:rsidR="00F02C0C" w:rsidRPr="00F02C0C">
        <w:rPr>
          <w:rFonts w:eastAsia="MS Mincho"/>
          <w:i w:val="0"/>
          <w:kern w:val="0"/>
          <w:szCs w:val="24"/>
        </w:rPr>
        <w:t xml:space="preserve"> may be associated with greater advection of thermal vorticity by the thermal wind between the thickness trough and ridge that contributes to greater intensification of AC16.</w:t>
      </w:r>
      <w:bookmarkEnd w:id="1"/>
    </w:p>
    <w:p w14:paraId="332A3FA3" w14:textId="13E83324" w:rsidR="00995D41" w:rsidRPr="00995D41" w:rsidRDefault="00FC1451" w:rsidP="00995D41">
      <w:pPr>
        <w:pStyle w:val="H2"/>
        <w:ind w:firstLine="360"/>
        <w:rPr>
          <w:rFonts w:eastAsia="MS Mincho"/>
          <w:i w:val="0"/>
          <w:kern w:val="0"/>
          <w:szCs w:val="24"/>
        </w:rPr>
      </w:pPr>
      <w:r w:rsidRPr="00FC1451">
        <w:rPr>
          <w:i w:val="0"/>
          <w:iCs/>
        </w:rPr>
        <w:t xml:space="preserve">It is speculated from the ESA of AC16 that accurate forecasts of upper-tropospheric features, including T1, and the embedded TPV, and R1, are important for </w:t>
      </w:r>
      <w:r>
        <w:rPr>
          <w:i w:val="0"/>
          <w:iCs/>
        </w:rPr>
        <w:t xml:space="preserve">an </w:t>
      </w:r>
      <w:r w:rsidRPr="00FC1451">
        <w:rPr>
          <w:i w:val="0"/>
          <w:iCs/>
        </w:rPr>
        <w:t>accurate forecast of the intensity of AC16.</w:t>
      </w:r>
      <w:r>
        <w:rPr>
          <w:i w:val="0"/>
          <w:iCs/>
        </w:rPr>
        <w:t xml:space="preserve"> Ban et al. (2023) </w:t>
      </w:r>
      <w:r w:rsidR="00A7219F">
        <w:rPr>
          <w:i w:val="0"/>
          <w:iCs/>
        </w:rPr>
        <w:t>show in their study of AC16</w:t>
      </w:r>
      <w:r>
        <w:rPr>
          <w:i w:val="0"/>
          <w:iCs/>
        </w:rPr>
        <w:t xml:space="preserve"> that a more accurate simulation of upper-</w:t>
      </w:r>
      <w:r w:rsidR="00110F18">
        <w:rPr>
          <w:i w:val="0"/>
          <w:iCs/>
        </w:rPr>
        <w:t>level</w:t>
      </w:r>
      <w:r>
        <w:rPr>
          <w:i w:val="0"/>
          <w:iCs/>
        </w:rPr>
        <w:t xml:space="preserve"> atmospheric fields </w:t>
      </w:r>
      <w:r w:rsidR="00A7219F">
        <w:rPr>
          <w:i w:val="0"/>
          <w:iCs/>
        </w:rPr>
        <w:t xml:space="preserve">likely </w:t>
      </w:r>
      <w:r>
        <w:rPr>
          <w:i w:val="0"/>
          <w:iCs/>
        </w:rPr>
        <w:t xml:space="preserve">contributes to a more accurate forecast of the intensity and position of AC16. </w:t>
      </w:r>
      <w:r w:rsidR="00995D41" w:rsidRPr="00995D41">
        <w:rPr>
          <w:rFonts w:eastAsia="MS Mincho"/>
          <w:i w:val="0"/>
          <w:kern w:val="0"/>
          <w:szCs w:val="24"/>
        </w:rPr>
        <w:t xml:space="preserve">Yamagami et al. (2018) show </w:t>
      </w:r>
      <w:r w:rsidR="00284681">
        <w:rPr>
          <w:rFonts w:eastAsia="MS Mincho"/>
          <w:i w:val="0"/>
          <w:kern w:val="0"/>
          <w:szCs w:val="24"/>
        </w:rPr>
        <w:t xml:space="preserve">that </w:t>
      </w:r>
      <w:r w:rsidR="00995D41" w:rsidRPr="00995D41">
        <w:rPr>
          <w:rFonts w:eastAsia="MS Mincho"/>
          <w:i w:val="0"/>
          <w:kern w:val="0"/>
          <w:szCs w:val="24"/>
        </w:rPr>
        <w:t>accurate</w:t>
      </w:r>
      <w:r w:rsidR="006E5421">
        <w:rPr>
          <w:rFonts w:eastAsia="MS Mincho"/>
          <w:i w:val="0"/>
          <w:kern w:val="0"/>
          <w:szCs w:val="24"/>
        </w:rPr>
        <w:t xml:space="preserve"> forecasts</w:t>
      </w:r>
      <w:r w:rsidR="00995D41" w:rsidRPr="00995D41">
        <w:rPr>
          <w:rFonts w:eastAsia="MS Mincho"/>
          <w:i w:val="0"/>
          <w:kern w:val="0"/>
          <w:szCs w:val="24"/>
        </w:rPr>
        <w:t xml:space="preserve"> of TPVs, an upper-tropospheric trough, and an upper-tropospheric ridge in the vicinity of AC12</w:t>
      </w:r>
      <w:r w:rsidR="00110F18">
        <w:rPr>
          <w:rFonts w:eastAsia="MS Mincho"/>
          <w:i w:val="0"/>
          <w:kern w:val="0"/>
          <w:szCs w:val="24"/>
        </w:rPr>
        <w:t xml:space="preserve"> are important for accurate forecasts of the intensity and position of AC12</w:t>
      </w:r>
      <w:r w:rsidR="00995D41" w:rsidRPr="00995D41">
        <w:rPr>
          <w:rFonts w:eastAsia="MS Mincho"/>
          <w:i w:val="0"/>
          <w:kern w:val="0"/>
          <w:szCs w:val="24"/>
        </w:rPr>
        <w:t>.</w:t>
      </w:r>
      <w:r w:rsidR="00995D41">
        <w:rPr>
          <w:rFonts w:eastAsia="MS Mincho"/>
          <w:i w:val="0"/>
          <w:kern w:val="0"/>
          <w:szCs w:val="24"/>
        </w:rPr>
        <w:t xml:space="preserve"> </w:t>
      </w:r>
      <w:r w:rsidR="00D37656">
        <w:rPr>
          <w:rFonts w:eastAsia="MS Mincho"/>
          <w:i w:val="0"/>
          <w:kern w:val="0"/>
          <w:szCs w:val="24"/>
        </w:rPr>
        <w:t>Previous</w:t>
      </w:r>
      <w:r w:rsidR="00995D41" w:rsidRPr="00995D41">
        <w:rPr>
          <w:rFonts w:eastAsia="MS Mincho"/>
          <w:i w:val="0"/>
          <w:iCs/>
          <w:szCs w:val="24"/>
        </w:rPr>
        <w:t xml:space="preserve"> studies of midlatitude cyclones have shown that forecast errors in the intensity and position of midlatitude cyclones can be linked to forecast errors in upper-tropospheric features, such as upper-tropospheric troughs and ridges (e.g., Sanders 1986, 1992; </w:t>
      </w:r>
      <w:proofErr w:type="spellStart"/>
      <w:r w:rsidR="00995D41" w:rsidRPr="00995D41">
        <w:rPr>
          <w:rFonts w:eastAsia="MS Mincho"/>
          <w:i w:val="0"/>
          <w:iCs/>
          <w:szCs w:val="24"/>
        </w:rPr>
        <w:t>Kuo</w:t>
      </w:r>
      <w:proofErr w:type="spellEnd"/>
      <w:r w:rsidR="00995D41" w:rsidRPr="00995D41">
        <w:rPr>
          <w:rFonts w:eastAsia="MS Mincho"/>
          <w:i w:val="0"/>
          <w:iCs/>
          <w:szCs w:val="24"/>
        </w:rPr>
        <w:t xml:space="preserve"> and Reed 1988; Sanders et al. 2000; Langland et al. 2002; Chang et al. 2013; Zheng et al. 2013; Lamberson et al. 2016). Furthermore, previous studies including Langland et al. (2002), Chang et al. (2013), and Lamberson et al. (2016) show that upper-tropospheric forecast errors influencing the forecast skill of midlatitude cyclones can propagate downstream as structures resembling wave packets. The propagation of coherent regions of sensitivity of </w:t>
      </w:r>
      <w:r w:rsidR="00995D41" w:rsidRPr="00995D41">
        <w:rPr>
          <w:rFonts w:eastAsia="MS Mincho"/>
          <w:szCs w:val="24"/>
        </w:rPr>
        <w:t>J</w:t>
      </w:r>
      <w:r w:rsidR="00995D41" w:rsidRPr="00995D41">
        <w:rPr>
          <w:rFonts w:eastAsia="MS Mincho"/>
          <w:szCs w:val="24"/>
          <w:vertAlign w:val="subscript"/>
        </w:rPr>
        <w:t>AC</w:t>
      </w:r>
      <w:r w:rsidR="00995D41" w:rsidRPr="00995D41">
        <w:rPr>
          <w:rFonts w:eastAsia="MS Mincho"/>
          <w:i w:val="0"/>
          <w:iCs/>
          <w:szCs w:val="24"/>
        </w:rPr>
        <w:t xml:space="preserve"> to upper-tropospheric PV from the North Atlantic, across Eurasia, and into the Arctic during 0000 UTC 10–1200 UTC 14 August (Figs. </w:t>
      </w:r>
      <w:r w:rsidR="00995D41">
        <w:rPr>
          <w:rFonts w:eastAsia="MS Mincho"/>
          <w:i w:val="0"/>
          <w:iCs/>
          <w:szCs w:val="24"/>
        </w:rPr>
        <w:t>12</w:t>
      </w:r>
      <w:r w:rsidR="00995D41" w:rsidRPr="00995D41">
        <w:rPr>
          <w:rFonts w:eastAsia="MS Mincho"/>
          <w:i w:val="0"/>
          <w:iCs/>
          <w:szCs w:val="24"/>
        </w:rPr>
        <w:t xml:space="preserve">a–d and Figs. </w:t>
      </w:r>
      <w:r w:rsidR="00995D41">
        <w:rPr>
          <w:rFonts w:eastAsia="MS Mincho"/>
          <w:i w:val="0"/>
          <w:iCs/>
          <w:szCs w:val="24"/>
        </w:rPr>
        <w:t>13</w:t>
      </w:r>
      <w:r w:rsidR="00995D41" w:rsidRPr="00995D41">
        <w:rPr>
          <w:rFonts w:eastAsia="MS Mincho"/>
          <w:i w:val="0"/>
          <w:iCs/>
          <w:szCs w:val="24"/>
        </w:rPr>
        <w:t xml:space="preserve">a–f) suggests that upper-tropospheric forecast </w:t>
      </w:r>
      <w:r w:rsidR="00995D41" w:rsidRPr="00995D41">
        <w:rPr>
          <w:rFonts w:eastAsia="MS Mincho"/>
          <w:i w:val="0"/>
          <w:iCs/>
          <w:szCs w:val="24"/>
        </w:rPr>
        <w:lastRenderedPageBreak/>
        <w:t>errors influencing the forecast skill of</w:t>
      </w:r>
      <w:r w:rsidR="00876D51">
        <w:rPr>
          <w:rFonts w:eastAsia="MS Mincho"/>
          <w:i w:val="0"/>
          <w:iCs/>
          <w:szCs w:val="24"/>
        </w:rPr>
        <w:t xml:space="preserve"> the intensity of</w:t>
      </w:r>
      <w:r w:rsidR="00995D41" w:rsidRPr="00995D41">
        <w:rPr>
          <w:rFonts w:eastAsia="MS Mincho"/>
          <w:i w:val="0"/>
          <w:iCs/>
          <w:szCs w:val="24"/>
        </w:rPr>
        <w:t xml:space="preserve"> AC16 may similarly propagate downstream as structures resembling wave packets. </w:t>
      </w:r>
    </w:p>
    <w:p w14:paraId="07728BDD" w14:textId="77777777" w:rsidR="00995D41" w:rsidRPr="00691A1B" w:rsidRDefault="00995D41" w:rsidP="00691A1B">
      <w:pPr>
        <w:pStyle w:val="H2"/>
        <w:ind w:firstLine="360"/>
        <w:rPr>
          <w:rFonts w:eastAsia="MS Mincho"/>
          <w:i w:val="0"/>
          <w:kern w:val="0"/>
          <w:szCs w:val="24"/>
        </w:rPr>
      </w:pPr>
    </w:p>
    <w:p w14:paraId="03A21979" w14:textId="03785F73" w:rsidR="00F52648" w:rsidRPr="003E64F4" w:rsidRDefault="00F52648" w:rsidP="00F52648">
      <w:pPr>
        <w:pStyle w:val="H1"/>
        <w:rPr>
          <w:szCs w:val="24"/>
        </w:rPr>
      </w:pPr>
      <w:r w:rsidRPr="003E64F4">
        <w:rPr>
          <w:szCs w:val="24"/>
        </w:rPr>
        <w:t>4. Summary</w:t>
      </w:r>
      <w:r w:rsidR="00DA5154">
        <w:rPr>
          <w:szCs w:val="24"/>
        </w:rPr>
        <w:t xml:space="preserve"> </w:t>
      </w:r>
    </w:p>
    <w:p w14:paraId="3BF5F2B3" w14:textId="36B8221C" w:rsidR="002B1177" w:rsidRDefault="002B1177" w:rsidP="002B1177">
      <w:pPr>
        <w:pStyle w:val="ParagraphText"/>
        <w:rPr>
          <w:szCs w:val="24"/>
        </w:rPr>
      </w:pPr>
      <w:r>
        <w:rPr>
          <w:szCs w:val="24"/>
        </w:rPr>
        <w:t>There has been a recent increase in</w:t>
      </w:r>
      <w:r w:rsidR="00345301">
        <w:rPr>
          <w:szCs w:val="24"/>
        </w:rPr>
        <w:t xml:space="preserve"> studies aimed to</w:t>
      </w:r>
      <w:r>
        <w:rPr>
          <w:szCs w:val="24"/>
        </w:rPr>
        <w:t xml:space="preserve"> better understand features and processes </w:t>
      </w:r>
      <w:r w:rsidR="00825CEE">
        <w:rPr>
          <w:szCs w:val="24"/>
        </w:rPr>
        <w:t>influencing</w:t>
      </w:r>
      <w:r>
        <w:rPr>
          <w:szCs w:val="24"/>
        </w:rPr>
        <w:t xml:space="preserve"> the evolution of ACs (e.g., </w:t>
      </w:r>
      <w:r w:rsidRPr="00D54346">
        <w:t>Tao et al. 2017</w:t>
      </w:r>
      <w:proofErr w:type="gramStart"/>
      <w:r w:rsidRPr="00D54346">
        <w:t>a,b</w:t>
      </w:r>
      <w:proofErr w:type="gramEnd"/>
      <w:r w:rsidRPr="00D54346">
        <w:t xml:space="preserve">; </w:t>
      </w:r>
      <w:r w:rsidR="001B2DBC">
        <w:t>Yamagami et al. 2017; Gray et al. 202</w:t>
      </w:r>
      <w:r w:rsidR="00825CEE">
        <w:t>1</w:t>
      </w:r>
      <w:r w:rsidR="001B2DBC">
        <w:t xml:space="preserve">; </w:t>
      </w:r>
      <w:proofErr w:type="spellStart"/>
      <w:r w:rsidR="001B2DBC">
        <w:t>Vessey</w:t>
      </w:r>
      <w:proofErr w:type="spellEnd"/>
      <w:r w:rsidR="001B2DBC">
        <w:t xml:space="preserve"> et al. 2022; Ban et al. 2023; </w:t>
      </w:r>
      <w:r>
        <w:t xml:space="preserve">Qian et al. 2023; </w:t>
      </w:r>
      <w:r w:rsidR="001B2DBC">
        <w:t>Yang et al. 2024</w:t>
      </w:r>
      <w:r>
        <w:t xml:space="preserve">). </w:t>
      </w:r>
      <w:r w:rsidR="00345301">
        <w:t>T</w:t>
      </w:r>
      <w:r>
        <w:t>here</w:t>
      </w:r>
      <w:r w:rsidRPr="00D54346">
        <w:t xml:space="preserve"> have been </w:t>
      </w:r>
      <w:r>
        <w:t xml:space="preserve">relatively few studies that </w:t>
      </w:r>
      <w:r w:rsidRPr="00D54346">
        <w:t>have examined features and processes influencing the forecast skill of ACs</w:t>
      </w:r>
      <w:r>
        <w:t xml:space="preserve"> (</w:t>
      </w:r>
      <w:r w:rsidR="00E30DDB">
        <w:t xml:space="preserve">e.g., </w:t>
      </w:r>
      <w:r w:rsidRPr="002B1177">
        <w:t xml:space="preserve">Tao et al. 2017b; Yamagami et al. 2018; </w:t>
      </w:r>
      <w:proofErr w:type="spellStart"/>
      <w:r w:rsidRPr="002B1177">
        <w:t>Capute</w:t>
      </w:r>
      <w:proofErr w:type="spellEnd"/>
      <w:r w:rsidRPr="002B1177">
        <w:t xml:space="preserve"> and Torn 2021; Johnson and Wang 2021</w:t>
      </w:r>
      <w:r>
        <w:t>)</w:t>
      </w:r>
      <w:r w:rsidRPr="00D54346">
        <w:t>.</w:t>
      </w:r>
      <w:r>
        <w:t xml:space="preserve"> The present study provides insights into features and processes </w:t>
      </w:r>
      <w:r w:rsidRPr="00D54346">
        <w:t>influencing the evolution and forecast skill</w:t>
      </w:r>
      <w:r w:rsidR="00576615">
        <w:t xml:space="preserve"> of the intensity</w:t>
      </w:r>
      <w:r w:rsidRPr="00D54346">
        <w:t xml:space="preserve"> of strong low-skill ACs.</w:t>
      </w:r>
    </w:p>
    <w:p w14:paraId="0E6201D9" w14:textId="6D7DB320" w:rsidR="008A2EDE" w:rsidRDefault="002B1177" w:rsidP="008A2EDE">
      <w:pPr>
        <w:pStyle w:val="ParagraphText"/>
      </w:pPr>
      <w:r>
        <w:rPr>
          <w:szCs w:val="24"/>
        </w:rPr>
        <w:t>T</w:t>
      </w:r>
      <w:r>
        <w:t xml:space="preserve">he </w:t>
      </w:r>
      <w:r w:rsidRPr="004C4D5E">
        <w:t>composite analysis for the strong low-skill ACs suggests that these ACs</w:t>
      </w:r>
      <w:r w:rsidR="00594D46">
        <w:t xml:space="preserve"> intensify as they</w:t>
      </w:r>
      <w:r w:rsidRPr="004C4D5E">
        <w:t xml:space="preserve"> interact with</w:t>
      </w:r>
      <w:r>
        <w:t xml:space="preserve"> </w:t>
      </w:r>
      <w:r w:rsidRPr="004C4D5E">
        <w:t>TPVs</w:t>
      </w:r>
      <w:r w:rsidR="0059469C">
        <w:t xml:space="preserve"> </w:t>
      </w:r>
      <w:r w:rsidRPr="004C4D5E">
        <w:t>in a region of strong lower-to-</w:t>
      </w:r>
      <w:proofErr w:type="spellStart"/>
      <w:r w:rsidRPr="004C4D5E">
        <w:t>midtropospheric</w:t>
      </w:r>
      <w:proofErr w:type="spellEnd"/>
      <w:r w:rsidRPr="004C4D5E">
        <w:t xml:space="preserve"> baroclinicity and relatively large lower-to</w:t>
      </w:r>
      <w:r>
        <w:t>-</w:t>
      </w:r>
      <w:proofErr w:type="spellStart"/>
      <w:r w:rsidRPr="004C4D5E">
        <w:t>midtropospheric</w:t>
      </w:r>
      <w:proofErr w:type="spellEnd"/>
      <w:r>
        <w:t xml:space="preserve"> EGR</w:t>
      </w:r>
      <w:r w:rsidR="0059469C">
        <w:t xml:space="preserve">, and that the </w:t>
      </w:r>
      <w:r w:rsidR="00594D46">
        <w:t>TPVs become vertically superposed with the</w:t>
      </w:r>
      <w:r w:rsidR="0059469C">
        <w:t xml:space="preserve">se ACs </w:t>
      </w:r>
      <w:r w:rsidR="00594D46">
        <w:t xml:space="preserve">as these ACs reach peak intensity. </w:t>
      </w:r>
      <w:r w:rsidR="00D33DF9">
        <w:t>T</w:t>
      </w:r>
      <w:r w:rsidR="00D33DF9" w:rsidRPr="004C4D5E">
        <w:t xml:space="preserve">he composite analysis for the strong low-skill ACs </w:t>
      </w:r>
      <w:r w:rsidR="0059469C">
        <w:t xml:space="preserve">also </w:t>
      </w:r>
      <w:r w:rsidR="00D33DF9" w:rsidRPr="004C4D5E">
        <w:t>suggests that these ACs are associated with a</w:t>
      </w:r>
      <w:r w:rsidR="00D33DF9">
        <w:t xml:space="preserve"> well-defined </w:t>
      </w:r>
      <w:r w:rsidR="00D33DF9" w:rsidRPr="004C4D5E">
        <w:t xml:space="preserve">IVT corridor and </w:t>
      </w:r>
      <w:r w:rsidR="0059469C">
        <w:t xml:space="preserve">a </w:t>
      </w:r>
      <w:r w:rsidR="00D33DF9">
        <w:t xml:space="preserve">well-defined </w:t>
      </w:r>
      <w:r w:rsidR="00D33DF9" w:rsidRPr="004C4D5E">
        <w:t>region of IMFC that implies latent heating</w:t>
      </w:r>
      <w:r w:rsidR="0059469C">
        <w:t xml:space="preserve"> as these ACs intensify</w:t>
      </w:r>
      <w:r w:rsidR="00D33DF9" w:rsidRPr="004C4D5E">
        <w:t>.</w:t>
      </w:r>
      <w:r w:rsidR="00D33DF9" w:rsidRPr="00D33DF9">
        <w:t xml:space="preserve"> </w:t>
      </w:r>
      <w:r w:rsidR="00D33DF9">
        <w:t>T</w:t>
      </w:r>
      <w:r w:rsidR="00D33DF9" w:rsidRPr="004C4D5E">
        <w:t xml:space="preserve">he composite analysis for the strong low-skill ACs suggests that </w:t>
      </w:r>
      <w:r w:rsidR="00D33DF9">
        <w:t>TPVs,</w:t>
      </w:r>
      <w:r w:rsidR="00D33DF9" w:rsidRPr="004C4D5E">
        <w:t xml:space="preserve"> TPV–AC interactions, baroclinic processes, and latent heating </w:t>
      </w:r>
      <w:r w:rsidR="00594D46">
        <w:t>influence the evolution of</w:t>
      </w:r>
      <w:r w:rsidR="00D33DF9" w:rsidRPr="004C4D5E">
        <w:t xml:space="preserve"> these ACs.</w:t>
      </w:r>
      <w:r w:rsidR="00A746F7">
        <w:t xml:space="preserve"> Previous studies have similarly indicated the importance of TPVs and TPV–AC interactions (e.g.,</w:t>
      </w:r>
      <w:r w:rsidR="00A746F7" w:rsidRPr="00A746F7">
        <w:t xml:space="preserve"> </w:t>
      </w:r>
      <w:r w:rsidR="00A746F7" w:rsidRPr="007A63F9">
        <w:t xml:space="preserve">Aizawa </w:t>
      </w:r>
      <w:r w:rsidR="00A746F7">
        <w:t xml:space="preserve">and Tanaka 2016; </w:t>
      </w:r>
      <w:r w:rsidR="00A746F7" w:rsidRPr="007A63F9">
        <w:t>Tao et al. 2017</w:t>
      </w:r>
      <w:proofErr w:type="gramStart"/>
      <w:r w:rsidR="00A746F7" w:rsidRPr="007A63F9">
        <w:t>a,b</w:t>
      </w:r>
      <w:proofErr w:type="gramEnd"/>
      <w:r w:rsidR="00A746F7">
        <w:t xml:space="preserve">; Yamagami et al. 2017; </w:t>
      </w:r>
      <w:r w:rsidR="001E1689">
        <w:t xml:space="preserve">Gray et al. 2021; </w:t>
      </w:r>
      <w:r w:rsidR="00A746F7">
        <w:t xml:space="preserve">Ban et al. 2023), baroclinic processes (e.g., </w:t>
      </w:r>
      <w:r w:rsidR="00A746F7" w:rsidRPr="00FB3D71">
        <w:t xml:space="preserve">Tao et al. 2017a,b; </w:t>
      </w:r>
      <w:r w:rsidR="00A746F7">
        <w:t xml:space="preserve">Ban et al. 2023; </w:t>
      </w:r>
      <w:proofErr w:type="spellStart"/>
      <w:r w:rsidR="001E1689">
        <w:t>Croad</w:t>
      </w:r>
      <w:proofErr w:type="spellEnd"/>
      <w:r w:rsidR="001E1689">
        <w:t xml:space="preserve"> et al. 2023; </w:t>
      </w:r>
      <w:r w:rsidR="00A746F7">
        <w:t>Qian et al. 2023), and laten</w:t>
      </w:r>
      <w:r w:rsidR="0059469C">
        <w:t>t</w:t>
      </w:r>
      <w:r w:rsidR="00A746F7">
        <w:t xml:space="preserve"> heating (e.g., Qian et al. 2023) </w:t>
      </w:r>
      <w:r w:rsidR="00BD370D">
        <w:t>in influencing</w:t>
      </w:r>
      <w:r w:rsidR="00A746F7">
        <w:t xml:space="preserve"> the </w:t>
      </w:r>
      <w:r w:rsidR="00594D46">
        <w:t xml:space="preserve">evolution </w:t>
      </w:r>
      <w:r w:rsidR="00A746F7">
        <w:t xml:space="preserve">of ACs. </w:t>
      </w:r>
      <w:r w:rsidR="00D33DF9" w:rsidRPr="00D33DF9">
        <w:t xml:space="preserve"> </w:t>
      </w:r>
      <w:r w:rsidR="00D33DF9">
        <w:t>F</w:t>
      </w:r>
      <w:r w:rsidR="00D33DF9" w:rsidRPr="004C4D5E">
        <w:t>orecast errors related to</w:t>
      </w:r>
      <w:r w:rsidR="00D33DF9">
        <w:t xml:space="preserve"> TPVs,</w:t>
      </w:r>
      <w:r w:rsidR="00D33DF9" w:rsidRPr="004C4D5E">
        <w:t xml:space="preserve"> TPV–AC interactions, baroclinic processes, and latent heating may contribute to the low forecast skill of</w:t>
      </w:r>
      <w:r w:rsidR="00D33DF9">
        <w:t xml:space="preserve"> the</w:t>
      </w:r>
      <w:r w:rsidR="00D33DF9" w:rsidRPr="004C4D5E">
        <w:t xml:space="preserve"> intensity of the strong low-skill ACs</w:t>
      </w:r>
      <w:r w:rsidR="00D33DF9">
        <w:t>.</w:t>
      </w:r>
    </w:p>
    <w:p w14:paraId="7C892D0F" w14:textId="6A1D54E7" w:rsidR="00D33DF9" w:rsidRPr="00594D46" w:rsidRDefault="00D33DF9" w:rsidP="00FF0391">
      <w:pPr>
        <w:pStyle w:val="ParagraphText"/>
      </w:pPr>
      <w:r>
        <w:t>The synoptic-dynamic analysis of AC16</w:t>
      </w:r>
      <w:r w:rsidR="0059469C">
        <w:t>, which is one of the strong low-skill ACs,</w:t>
      </w:r>
      <w:r>
        <w:t xml:space="preserve"> indicates that </w:t>
      </w:r>
      <w:r w:rsidRPr="00D71752">
        <w:rPr>
          <w:iCs/>
        </w:rPr>
        <w:t>TPV</w:t>
      </w:r>
      <w:r w:rsidR="00A33853">
        <w:rPr>
          <w:iCs/>
        </w:rPr>
        <w:t>s</w:t>
      </w:r>
      <w:r w:rsidRPr="00D71752">
        <w:rPr>
          <w:iCs/>
        </w:rPr>
        <w:t>, TPV–AC interactions, baroclinic processes, and latent heating</w:t>
      </w:r>
      <w:r>
        <w:rPr>
          <w:iCs/>
        </w:rPr>
        <w:t xml:space="preserve"> appear to influence the evolution of AC16, which is consistent with the results of the composite analysis for the strong low-skill ACs</w:t>
      </w:r>
      <w:r w:rsidR="00A33853">
        <w:rPr>
          <w:iCs/>
        </w:rPr>
        <w:t xml:space="preserve"> and consistent with the results of </w:t>
      </w:r>
      <w:r w:rsidR="00A33853" w:rsidRPr="00D71752">
        <w:rPr>
          <w:iCs/>
        </w:rPr>
        <w:t>Yamagami et al. (2017)</w:t>
      </w:r>
      <w:r w:rsidR="00A33853">
        <w:rPr>
          <w:iCs/>
        </w:rPr>
        <w:t>, Ban et al. (2023), and Qian et al. (2023)</w:t>
      </w:r>
      <w:r>
        <w:rPr>
          <w:iCs/>
        </w:rPr>
        <w:t>.</w:t>
      </w:r>
      <w:r w:rsidRPr="00D33DF9">
        <w:t xml:space="preserve"> </w:t>
      </w:r>
      <w:r>
        <w:t>T</w:t>
      </w:r>
      <w:r w:rsidRPr="00C544E9">
        <w:t xml:space="preserve">he ESA of AC16 suggests that the </w:t>
      </w:r>
      <w:r>
        <w:t xml:space="preserve">forecast </w:t>
      </w:r>
      <w:r>
        <w:lastRenderedPageBreak/>
        <w:t>skill of the intensity of</w:t>
      </w:r>
      <w:r w:rsidRPr="00C544E9">
        <w:t xml:space="preserve"> AC16 is sensitive to the</w:t>
      </w:r>
      <w:r>
        <w:t xml:space="preserve"> </w:t>
      </w:r>
      <w:r w:rsidRPr="00C544E9">
        <w:t>amplitude of an upper-tropospheric trough</w:t>
      </w:r>
      <w:r>
        <w:t xml:space="preserve"> (T1)</w:t>
      </w:r>
      <w:r w:rsidRPr="00C544E9">
        <w:t>, and to the strength of an embedded</w:t>
      </w:r>
      <w:r>
        <w:t xml:space="preserve"> </w:t>
      </w:r>
      <w:r w:rsidRPr="00C544E9">
        <w:t>TPV, upstream of AC16</w:t>
      </w:r>
      <w:r>
        <w:t>, and to the amplitude of an upper-tropospheric ridge (R2) downstream of AC16.</w:t>
      </w:r>
      <w:r w:rsidRPr="00D33DF9">
        <w:t xml:space="preserve"> </w:t>
      </w:r>
      <w:r>
        <w:t xml:space="preserve">The ESA of AC16 </w:t>
      </w:r>
      <w:r w:rsidR="00FF0391">
        <w:t xml:space="preserve">also </w:t>
      </w:r>
      <w:r>
        <w:t xml:space="preserve">suggests that the forecast skill of the intensity of AC16 is sensitive to the amplitude of a thickness trough upstream of AC16, the amplitude of a thickness ridge downstream of AC16, and to the position of a region of latent heating associated with AC16. </w:t>
      </w:r>
      <w:r w:rsidR="00A746F7">
        <w:t xml:space="preserve">Previous studies </w:t>
      </w:r>
      <w:r w:rsidR="00FF0391">
        <w:t>indicate</w:t>
      </w:r>
      <w:r w:rsidR="00A746F7">
        <w:t xml:space="preserve"> that accurate forecasts of upper-tropospheric features, including TPVs, trough</w:t>
      </w:r>
      <w:r w:rsidR="006E48FB">
        <w:t>s,</w:t>
      </w:r>
      <w:r w:rsidR="00A746F7">
        <w:t xml:space="preserve"> and ridges, are important for </w:t>
      </w:r>
      <w:r w:rsidR="00BD370D">
        <w:t xml:space="preserve">an </w:t>
      </w:r>
      <w:r w:rsidR="00A746F7">
        <w:t xml:space="preserve">accurate forecast of the intensity and position of ACs (e.g., Yamazaki et al. 2015; Yamagami et al. 2018a, Johnson and Wang 2021; Ban et al. 2023). </w:t>
      </w:r>
      <w:r w:rsidR="000F5966">
        <w:t>It is speculated from the ESA of AC16 that accurate forecasts of upper-tropospheric features</w:t>
      </w:r>
      <w:r w:rsidR="00EF0C63">
        <w:t xml:space="preserve"> </w:t>
      </w:r>
      <w:r w:rsidR="000F5966">
        <w:t xml:space="preserve">are important for </w:t>
      </w:r>
      <w:r w:rsidR="00FC1451">
        <w:t>an</w:t>
      </w:r>
      <w:r w:rsidR="000F5966">
        <w:t xml:space="preserve"> accurate forecast of the intensity of AC16. </w:t>
      </w:r>
      <w:r w:rsidR="00345301">
        <w:t>A</w:t>
      </w:r>
      <w:r w:rsidR="00345301" w:rsidRPr="000D57E9">
        <w:t xml:space="preserve"> limitation of the present study is that the ESA is co</w:t>
      </w:r>
      <w:r w:rsidR="00345301">
        <w:t>nducted</w:t>
      </w:r>
      <w:r w:rsidR="00345301" w:rsidRPr="000D57E9">
        <w:t xml:space="preserve"> for one strong low-skill AC and should be conducted </w:t>
      </w:r>
      <w:r w:rsidR="00345301">
        <w:t>for</w:t>
      </w:r>
      <w:r w:rsidR="00345301" w:rsidRPr="000D57E9">
        <w:t xml:space="preserve"> multiple strong low-skill ACs to determine </w:t>
      </w:r>
      <w:r w:rsidR="00345301">
        <w:t xml:space="preserve">the variability in the </w:t>
      </w:r>
      <w:r w:rsidR="00345301" w:rsidRPr="000D57E9">
        <w:t xml:space="preserve">sensitivity of the </w:t>
      </w:r>
      <w:r w:rsidR="00345301">
        <w:t>forecast skill of the intensity of</w:t>
      </w:r>
      <w:r w:rsidR="00345301" w:rsidRPr="000D57E9">
        <w:t xml:space="preserve"> strong low-skill ACs to selected dynamic and thermodynamic quantities </w:t>
      </w:r>
      <w:r w:rsidR="00345301">
        <w:t>for strong low-skill</w:t>
      </w:r>
      <w:r w:rsidR="00345301" w:rsidRPr="000D57E9">
        <w:t xml:space="preserve"> ACs.</w:t>
      </w:r>
      <w:r w:rsidR="00FF0391">
        <w:t xml:space="preserve"> </w:t>
      </w:r>
    </w:p>
    <w:p w14:paraId="184B8FE3" w14:textId="77777777" w:rsidR="00F72E79" w:rsidRPr="00B36F8E" w:rsidRDefault="00F72E79" w:rsidP="00F52648">
      <w:pPr>
        <w:ind w:firstLine="0"/>
        <w:rPr>
          <w:szCs w:val="24"/>
        </w:rPr>
      </w:pPr>
    </w:p>
    <w:p w14:paraId="0FE29B8B" w14:textId="11D14822" w:rsidR="00D90B97" w:rsidRPr="00B36F8E" w:rsidRDefault="008274AB" w:rsidP="006E19A6">
      <w:pPr>
        <w:pStyle w:val="ComponentName2"/>
        <w:rPr>
          <w:szCs w:val="24"/>
        </w:rPr>
      </w:pPr>
      <w:r w:rsidRPr="00B36F8E">
        <w:rPr>
          <w:szCs w:val="24"/>
        </w:rPr>
        <w:t>Acknowledgments.</w:t>
      </w:r>
    </w:p>
    <w:p w14:paraId="5AA8216C" w14:textId="52D91FDE" w:rsidR="00D90B97" w:rsidRDefault="00DB5C3A" w:rsidP="006E4758">
      <w:pPr>
        <w:rPr>
          <w:szCs w:val="24"/>
        </w:rPr>
      </w:pPr>
      <w:r w:rsidRPr="00DB5C3A">
        <w:rPr>
          <w:szCs w:val="24"/>
        </w:rPr>
        <w:t>The authors thank</w:t>
      </w:r>
      <w:r>
        <w:rPr>
          <w:szCs w:val="24"/>
        </w:rPr>
        <w:t xml:space="preserve"> </w:t>
      </w:r>
      <w:r w:rsidR="00021BE9" w:rsidRPr="00DB5C3A">
        <w:rPr>
          <w:szCs w:val="24"/>
        </w:rPr>
        <w:t>Steven Ca</w:t>
      </w:r>
      <w:r w:rsidR="00021BE9">
        <w:rPr>
          <w:szCs w:val="24"/>
        </w:rPr>
        <w:t xml:space="preserve">vallo (University of Oklahoma), Andrea Lang (University at Albany, SUNY), and </w:t>
      </w:r>
      <w:r>
        <w:rPr>
          <w:szCs w:val="24"/>
        </w:rPr>
        <w:t>Ryan To</w:t>
      </w:r>
      <w:r w:rsidR="00021BE9">
        <w:rPr>
          <w:szCs w:val="24"/>
        </w:rPr>
        <w:t>rn (University at Albany, SUNY)</w:t>
      </w:r>
      <w:r>
        <w:rPr>
          <w:szCs w:val="24"/>
        </w:rPr>
        <w:t xml:space="preserve"> </w:t>
      </w:r>
      <w:r w:rsidRPr="00DB5C3A">
        <w:rPr>
          <w:szCs w:val="24"/>
        </w:rPr>
        <w:t xml:space="preserve">for </w:t>
      </w:r>
      <w:r>
        <w:rPr>
          <w:szCs w:val="24"/>
        </w:rPr>
        <w:t>helpful discussions.</w:t>
      </w:r>
      <w:r w:rsidR="007D7340">
        <w:rPr>
          <w:szCs w:val="24"/>
        </w:rPr>
        <w:t xml:space="preserve"> </w:t>
      </w:r>
      <w:r w:rsidR="00271742">
        <w:rPr>
          <w:szCs w:val="24"/>
        </w:rPr>
        <w:t xml:space="preserve">The authors also thank Ryan Torn for providing code </w:t>
      </w:r>
      <w:r w:rsidR="00014880">
        <w:rPr>
          <w:szCs w:val="24"/>
        </w:rPr>
        <w:t>to conduct the</w:t>
      </w:r>
      <w:r w:rsidR="00271742">
        <w:rPr>
          <w:szCs w:val="24"/>
        </w:rPr>
        <w:t xml:space="preserve"> </w:t>
      </w:r>
      <w:r w:rsidR="00DE24CE">
        <w:rPr>
          <w:szCs w:val="24"/>
        </w:rPr>
        <w:t>ESA</w:t>
      </w:r>
      <w:r w:rsidR="00271742">
        <w:rPr>
          <w:szCs w:val="24"/>
        </w:rPr>
        <w:t xml:space="preserve">. </w:t>
      </w:r>
      <w:r w:rsidRPr="00DB5C3A">
        <w:rPr>
          <w:szCs w:val="24"/>
        </w:rPr>
        <w:t>This research was performed as part of the first</w:t>
      </w:r>
      <w:r>
        <w:rPr>
          <w:szCs w:val="24"/>
        </w:rPr>
        <w:t xml:space="preserve"> author’s Ph.D. dissertation</w:t>
      </w:r>
      <w:r w:rsidRPr="00DB5C3A">
        <w:rPr>
          <w:szCs w:val="24"/>
        </w:rPr>
        <w:t xml:space="preserve"> at the University at Albany, SUNY</w:t>
      </w:r>
      <w:r w:rsidR="00B83EAE">
        <w:rPr>
          <w:szCs w:val="24"/>
        </w:rPr>
        <w:t>, and</w:t>
      </w:r>
      <w:r w:rsidRPr="00DB5C3A">
        <w:rPr>
          <w:szCs w:val="24"/>
        </w:rPr>
        <w:t xml:space="preserve"> was funded by ONR</w:t>
      </w:r>
      <w:r>
        <w:rPr>
          <w:szCs w:val="24"/>
        </w:rPr>
        <w:t xml:space="preserve"> </w:t>
      </w:r>
      <w:r w:rsidRPr="00DB5C3A">
        <w:rPr>
          <w:szCs w:val="24"/>
        </w:rPr>
        <w:t>Grant N00014-18-1-2200.</w:t>
      </w:r>
    </w:p>
    <w:p w14:paraId="0D932914" w14:textId="77777777" w:rsidR="00DB5C3A" w:rsidRPr="00B36F8E" w:rsidRDefault="00DB5C3A" w:rsidP="00DB5C3A">
      <w:pPr>
        <w:rPr>
          <w:szCs w:val="24"/>
        </w:rPr>
      </w:pPr>
    </w:p>
    <w:p w14:paraId="7F170878" w14:textId="18F16CFF" w:rsidR="00D90B97" w:rsidRPr="00B36F8E" w:rsidRDefault="00B62DA7" w:rsidP="006E19A6">
      <w:pPr>
        <w:pStyle w:val="ComponentName2"/>
        <w:spacing w:after="120"/>
        <w:rPr>
          <w:szCs w:val="24"/>
        </w:rPr>
      </w:pPr>
      <w:r w:rsidRPr="00B36F8E">
        <w:rPr>
          <w:szCs w:val="24"/>
        </w:rPr>
        <w:t xml:space="preserve">Data </w:t>
      </w:r>
      <w:r w:rsidR="00940543">
        <w:rPr>
          <w:szCs w:val="24"/>
        </w:rPr>
        <w:t>a</w:t>
      </w:r>
      <w:r w:rsidRPr="00B36F8E">
        <w:rPr>
          <w:szCs w:val="24"/>
        </w:rPr>
        <w:t xml:space="preserve">vailability </w:t>
      </w:r>
      <w:r w:rsidR="00940543">
        <w:rPr>
          <w:szCs w:val="24"/>
        </w:rPr>
        <w:t>s</w:t>
      </w:r>
      <w:r w:rsidRPr="00B36F8E">
        <w:rPr>
          <w:szCs w:val="24"/>
        </w:rPr>
        <w:t>tatement.</w:t>
      </w:r>
    </w:p>
    <w:p w14:paraId="756D8601" w14:textId="2F79FC3E" w:rsidR="00D90B97" w:rsidRPr="00961E42" w:rsidRDefault="002E7B6C" w:rsidP="00961E42">
      <w:r w:rsidRPr="002E7B6C">
        <w:rPr>
          <w:szCs w:val="24"/>
          <w:lang w:eastAsia="en-IN"/>
        </w:rPr>
        <w:t>The ERA</w:t>
      </w:r>
      <w:r w:rsidR="00961E42">
        <w:rPr>
          <w:szCs w:val="24"/>
          <w:lang w:eastAsia="en-IN"/>
        </w:rPr>
        <w:t xml:space="preserve">5 data were obtained from the </w:t>
      </w:r>
      <w:r w:rsidR="00961E42" w:rsidRPr="00961E42">
        <w:rPr>
          <w:szCs w:val="24"/>
          <w:lang w:eastAsia="en-IN"/>
        </w:rPr>
        <w:t>Copernicus Climate</w:t>
      </w:r>
      <w:r w:rsidR="00961E42">
        <w:rPr>
          <w:szCs w:val="24"/>
          <w:lang w:eastAsia="en-IN"/>
        </w:rPr>
        <w:t xml:space="preserve"> </w:t>
      </w:r>
      <w:r w:rsidR="00961E42" w:rsidRPr="00961E42">
        <w:rPr>
          <w:szCs w:val="24"/>
          <w:lang w:eastAsia="en-IN"/>
        </w:rPr>
        <w:t>Change Service Climate Data Store</w:t>
      </w:r>
      <w:r w:rsidR="00961E42">
        <w:rPr>
          <w:szCs w:val="24"/>
          <w:lang w:eastAsia="en-IN"/>
        </w:rPr>
        <w:t xml:space="preserve"> (</w:t>
      </w:r>
      <w:hyperlink r:id="rId8" w:history="1">
        <w:r w:rsidR="00961E42" w:rsidRPr="00F33FC7">
          <w:rPr>
            <w:rStyle w:val="Hyperlink"/>
          </w:rPr>
          <w:t>https://doi.org/10.24381/cds.adbb2d47</w:t>
        </w:r>
      </w:hyperlink>
      <w:r w:rsidR="00961E42">
        <w:t xml:space="preserve"> and </w:t>
      </w:r>
      <w:hyperlink r:id="rId9" w:history="1">
        <w:r w:rsidR="00961E42" w:rsidRPr="00F33FC7">
          <w:rPr>
            <w:rStyle w:val="Hyperlink"/>
          </w:rPr>
          <w:t>https://doi.org/10.24381/cds.bd0915c6</w:t>
        </w:r>
      </w:hyperlink>
      <w:r w:rsidR="00961E42">
        <w:t xml:space="preserve">). </w:t>
      </w:r>
      <w:r w:rsidR="00961E42">
        <w:rPr>
          <w:szCs w:val="24"/>
          <w:lang w:eastAsia="en-IN"/>
        </w:rPr>
        <w:t>The ECMWF EPS data were obtained from the TIGGE data retrieval portal at ECMWF (</w:t>
      </w:r>
      <w:hyperlink r:id="rId10" w:history="1">
        <w:r w:rsidR="00961E42" w:rsidRPr="00F33FC7">
          <w:rPr>
            <w:rStyle w:val="Hyperlink"/>
            <w:szCs w:val="24"/>
            <w:lang w:eastAsia="en-IN"/>
          </w:rPr>
          <w:t>https://apps.ecmwf.int/datasets/data/tigge</w:t>
        </w:r>
      </w:hyperlink>
      <w:r w:rsidR="00961E42">
        <w:rPr>
          <w:szCs w:val="24"/>
          <w:lang w:eastAsia="en-IN"/>
        </w:rPr>
        <w:t>).</w:t>
      </w:r>
    </w:p>
    <w:p w14:paraId="5F45A2C8" w14:textId="77777777" w:rsidR="00B20667" w:rsidRDefault="00B20667" w:rsidP="00182E51">
      <w:pPr>
        <w:widowControl w:val="0"/>
        <w:autoSpaceDE w:val="0"/>
        <w:autoSpaceDN w:val="0"/>
        <w:adjustRightInd w:val="0"/>
        <w:snapToGrid/>
        <w:spacing w:before="0" w:after="0"/>
        <w:rPr>
          <w:szCs w:val="24"/>
          <w:lang w:eastAsia="en-IN"/>
        </w:rPr>
      </w:pPr>
    </w:p>
    <w:p w14:paraId="713B5EC4" w14:textId="77777777" w:rsidR="004C3218" w:rsidRDefault="004C3218" w:rsidP="00182E51">
      <w:pPr>
        <w:widowControl w:val="0"/>
        <w:autoSpaceDE w:val="0"/>
        <w:autoSpaceDN w:val="0"/>
        <w:adjustRightInd w:val="0"/>
        <w:snapToGrid/>
        <w:spacing w:before="0" w:after="0"/>
        <w:rPr>
          <w:szCs w:val="24"/>
          <w:lang w:eastAsia="en-IN"/>
        </w:rPr>
      </w:pPr>
    </w:p>
    <w:p w14:paraId="36F909EA" w14:textId="77777777" w:rsidR="00FF1A50" w:rsidRPr="00182E51" w:rsidRDefault="00FF1A50" w:rsidP="00186C12">
      <w:pPr>
        <w:widowControl w:val="0"/>
        <w:autoSpaceDE w:val="0"/>
        <w:autoSpaceDN w:val="0"/>
        <w:adjustRightInd w:val="0"/>
        <w:snapToGrid/>
        <w:spacing w:before="0" w:after="0"/>
        <w:ind w:firstLine="0"/>
        <w:rPr>
          <w:szCs w:val="24"/>
          <w:lang w:eastAsia="en-IN"/>
        </w:rPr>
      </w:pPr>
    </w:p>
    <w:p w14:paraId="6AFA252F" w14:textId="4D11E5A2" w:rsidR="00C0034C" w:rsidRDefault="00D90B97" w:rsidP="005348EB">
      <w:pPr>
        <w:pStyle w:val="ComponentName"/>
      </w:pPr>
      <w:r w:rsidRPr="00F019AD">
        <w:lastRenderedPageBreak/>
        <w:t>REFERENCES</w:t>
      </w:r>
    </w:p>
    <w:p w14:paraId="4B4A8BBC" w14:textId="0CC528E0" w:rsidR="00C0034C" w:rsidRDefault="00C0034C" w:rsidP="00C0034C">
      <w:pPr>
        <w:ind w:left="360" w:hanging="360"/>
      </w:pPr>
      <w:r w:rsidRPr="00C0034C">
        <w:t xml:space="preserve">Aizawa, T., and H. L. Tanaka, 2016: Axisymmetric structure of the </w:t>
      </w:r>
      <w:proofErr w:type="gramStart"/>
      <w:r w:rsidRPr="00C0034C">
        <w:t>long lasting</w:t>
      </w:r>
      <w:proofErr w:type="gramEnd"/>
      <w:r w:rsidRPr="00C0034C">
        <w:t xml:space="preserve"> summer Arctic cyclones. </w:t>
      </w:r>
      <w:r w:rsidRPr="00C0034C">
        <w:rPr>
          <w:i/>
        </w:rPr>
        <w:t>Polar Sci.</w:t>
      </w:r>
      <w:r w:rsidRPr="00C0034C">
        <w:t xml:space="preserve">, </w:t>
      </w:r>
      <w:r w:rsidRPr="00C0034C">
        <w:rPr>
          <w:b/>
        </w:rPr>
        <w:t>10</w:t>
      </w:r>
      <w:r w:rsidRPr="00C0034C">
        <w:t xml:space="preserve">, 192–198. </w:t>
      </w:r>
      <w:hyperlink r:id="rId11" w:history="1">
        <w:r w:rsidRPr="00C0034C">
          <w:rPr>
            <w:rStyle w:val="Hyperlink"/>
          </w:rPr>
          <w:t>https://doi.org/10.1016/j.polar.2016.02.002</w:t>
        </w:r>
      </w:hyperlink>
      <w:r w:rsidRPr="00C0034C">
        <w:t>.</w:t>
      </w:r>
    </w:p>
    <w:p w14:paraId="48630A49" w14:textId="20ADAB91" w:rsidR="001D0C7F" w:rsidRDefault="001D0C7F" w:rsidP="00736BB5">
      <w:pPr>
        <w:ind w:left="360" w:hanging="360"/>
      </w:pPr>
      <w:r w:rsidRPr="001D0C7F">
        <w:t xml:space="preserve">Aizawa, T., H. L. Tanaka, and M. Satoh, 2014: Rapid development of </w:t>
      </w:r>
      <w:r w:rsidR="0030067D">
        <w:t>A</w:t>
      </w:r>
      <w:r w:rsidRPr="001D0C7F">
        <w:t>rctic cyclone in June</w:t>
      </w:r>
      <w:r w:rsidR="00125ABA">
        <w:t xml:space="preserve"> </w:t>
      </w:r>
      <w:r w:rsidRPr="001D0C7F">
        <w:t xml:space="preserve">2008 simulated by the cloud resolving global model NICAM. </w:t>
      </w:r>
      <w:r w:rsidRPr="001D0C7F">
        <w:rPr>
          <w:i/>
        </w:rPr>
        <w:t>Meteor. Atmos. Phys.</w:t>
      </w:r>
      <w:r w:rsidRPr="001D0C7F">
        <w:t>,</w:t>
      </w:r>
      <w:r>
        <w:t xml:space="preserve"> </w:t>
      </w:r>
      <w:r w:rsidRPr="001D0C7F">
        <w:rPr>
          <w:b/>
        </w:rPr>
        <w:t>126</w:t>
      </w:r>
      <w:r w:rsidRPr="001D0C7F">
        <w:t xml:space="preserve">, 105–117, </w:t>
      </w:r>
      <w:hyperlink r:id="rId12" w:history="1">
        <w:r w:rsidR="00736BB5" w:rsidRPr="00926B03">
          <w:rPr>
            <w:rStyle w:val="Hyperlink"/>
          </w:rPr>
          <w:t>https://doi.org/10.1007/s00703-013-0272-6</w:t>
        </w:r>
      </w:hyperlink>
      <w:r w:rsidRPr="001D0C7F">
        <w:t>.</w:t>
      </w:r>
    </w:p>
    <w:p w14:paraId="128FE596" w14:textId="77777777" w:rsidR="00C0034C" w:rsidRDefault="00C0034C" w:rsidP="00C0034C">
      <w:pPr>
        <w:ind w:left="360" w:hanging="360"/>
      </w:pPr>
      <w:r w:rsidRPr="000149D4">
        <w:t xml:space="preserve">Ban, J., </w:t>
      </w:r>
      <w:r>
        <w:t xml:space="preserve">Z. </w:t>
      </w:r>
      <w:r w:rsidRPr="000149D4">
        <w:t xml:space="preserve">Liu, </w:t>
      </w:r>
      <w:r>
        <w:t>D. H.</w:t>
      </w:r>
      <w:r w:rsidRPr="000149D4">
        <w:t xml:space="preserve"> Bromwich, </w:t>
      </w:r>
      <w:r>
        <w:t>and L.</w:t>
      </w:r>
      <w:r w:rsidRPr="000149D4">
        <w:t xml:space="preserve"> Bai, 2023</w:t>
      </w:r>
      <w:r>
        <w:t>:</w:t>
      </w:r>
      <w:r w:rsidRPr="000149D4">
        <w:t xml:space="preserve"> Improved regional forecasting of an extreme Arctic cyclone in August 2016 with WRF MRI-4DVAR. </w:t>
      </w:r>
      <w:r w:rsidRPr="00EE54FE">
        <w:rPr>
          <w:i/>
          <w:iCs/>
        </w:rPr>
        <w:t>Quart. J. Roy. Meteor. Soc.</w:t>
      </w:r>
      <w:r w:rsidRPr="000149D4">
        <w:t>,</w:t>
      </w:r>
      <w:r>
        <w:t xml:space="preserve"> </w:t>
      </w:r>
      <w:r w:rsidRPr="006C7C7C">
        <w:rPr>
          <w:b/>
          <w:bCs/>
        </w:rPr>
        <w:t>149</w:t>
      </w:r>
      <w:r>
        <w:t>,</w:t>
      </w:r>
      <w:r w:rsidRPr="000149D4">
        <w:t xml:space="preserve"> </w:t>
      </w:r>
      <w:r>
        <w:t>3490</w:t>
      </w:r>
      <w:r w:rsidRPr="000149D4">
        <w:t>–</w:t>
      </w:r>
      <w:r>
        <w:t xml:space="preserve">3512, </w:t>
      </w:r>
      <w:hyperlink r:id="rId13" w:history="1">
        <w:r w:rsidRPr="00CA293B">
          <w:rPr>
            <w:rStyle w:val="Hyperlink"/>
          </w:rPr>
          <w:t>https://doi.org/10.1002/qj.4569</w:t>
        </w:r>
      </w:hyperlink>
      <w:r>
        <w:t>.</w:t>
      </w:r>
    </w:p>
    <w:p w14:paraId="35675886" w14:textId="77777777" w:rsidR="00C0034C" w:rsidRDefault="00C0034C" w:rsidP="00C0034C">
      <w:pPr>
        <w:ind w:left="360" w:hanging="360"/>
      </w:pPr>
      <w:proofErr w:type="spellStart"/>
      <w:r w:rsidRPr="00D77BEB">
        <w:t>Biernat</w:t>
      </w:r>
      <w:proofErr w:type="spellEnd"/>
      <w:r w:rsidRPr="00D77BEB">
        <w:t>, K. A.,</w:t>
      </w:r>
      <w:r>
        <w:t xml:space="preserve"> D. Keyser, and L. F. </w:t>
      </w:r>
      <w:proofErr w:type="spellStart"/>
      <w:r>
        <w:t>Bosart</w:t>
      </w:r>
      <w:proofErr w:type="spellEnd"/>
      <w:r>
        <w:t>,</w:t>
      </w:r>
      <w:r w:rsidRPr="00D77BEB">
        <w:t xml:space="preserve"> 202</w:t>
      </w:r>
      <w:r>
        <w:t>3</w:t>
      </w:r>
      <w:r w:rsidRPr="00D77BEB">
        <w:t xml:space="preserve">: </w:t>
      </w:r>
      <w:r w:rsidRPr="003F21D1">
        <w:t xml:space="preserve">A </w:t>
      </w:r>
      <w:r>
        <w:t>c</w:t>
      </w:r>
      <w:r w:rsidRPr="003F21D1">
        <w:t xml:space="preserve">limatological </w:t>
      </w:r>
      <w:r>
        <w:t>c</w:t>
      </w:r>
      <w:r w:rsidRPr="003F21D1">
        <w:t xml:space="preserve">omparison of the Arctic </w:t>
      </w:r>
      <w:r>
        <w:t>e</w:t>
      </w:r>
      <w:r w:rsidRPr="003F21D1">
        <w:t xml:space="preserve">nvironment and Arctic </w:t>
      </w:r>
      <w:r>
        <w:t>c</w:t>
      </w:r>
      <w:r w:rsidRPr="003F21D1">
        <w:t>yclones between</w:t>
      </w:r>
      <w:r>
        <w:t xml:space="preserve"> p</w:t>
      </w:r>
      <w:r w:rsidRPr="003F21D1">
        <w:t xml:space="preserve">eriods of </w:t>
      </w:r>
      <w:r>
        <w:t>l</w:t>
      </w:r>
      <w:r w:rsidRPr="003F21D1">
        <w:t xml:space="preserve">ow and </w:t>
      </w:r>
      <w:r>
        <w:t>h</w:t>
      </w:r>
      <w:r w:rsidRPr="003F21D1">
        <w:t xml:space="preserve">igh </w:t>
      </w:r>
      <w:r>
        <w:t>f</w:t>
      </w:r>
      <w:r w:rsidRPr="003F21D1">
        <w:t xml:space="preserve">orecast </w:t>
      </w:r>
      <w:r>
        <w:t>s</w:t>
      </w:r>
      <w:r w:rsidRPr="003F21D1">
        <w:t xml:space="preserve">kill of the </w:t>
      </w:r>
      <w:r>
        <w:t>s</w:t>
      </w:r>
      <w:r w:rsidRPr="003F21D1">
        <w:t>ynoptic-</w:t>
      </w:r>
      <w:r>
        <w:t>s</w:t>
      </w:r>
      <w:r w:rsidRPr="003F21D1">
        <w:t xml:space="preserve">cale </w:t>
      </w:r>
      <w:r>
        <w:t>f</w:t>
      </w:r>
      <w:r w:rsidRPr="003F21D1">
        <w:t>low</w:t>
      </w:r>
      <w:r>
        <w:t xml:space="preserve">. </w:t>
      </w:r>
      <w:r w:rsidRPr="00D77BEB">
        <w:rPr>
          <w:i/>
        </w:rPr>
        <w:t>Mon. Wea. Rev.</w:t>
      </w:r>
      <w:r w:rsidRPr="00D77BEB">
        <w:t xml:space="preserve">, </w:t>
      </w:r>
      <w:r w:rsidRPr="00D77BEB">
        <w:rPr>
          <w:b/>
        </w:rPr>
        <w:t>1</w:t>
      </w:r>
      <w:r>
        <w:rPr>
          <w:b/>
        </w:rPr>
        <w:t>51</w:t>
      </w:r>
      <w:r w:rsidRPr="00D77BEB">
        <w:t xml:space="preserve">, </w:t>
      </w:r>
      <w:r>
        <w:t>1957</w:t>
      </w:r>
      <w:r w:rsidRPr="00D77BEB">
        <w:t>–</w:t>
      </w:r>
      <w:r>
        <w:t xml:space="preserve">1978, </w:t>
      </w:r>
      <w:hyperlink r:id="rId14" w:history="1">
        <w:r w:rsidRPr="00CA293B">
          <w:rPr>
            <w:rStyle w:val="Hyperlink"/>
          </w:rPr>
          <w:t>https://doi.org/10.1175/MWR-D-22-0318.1</w:t>
        </w:r>
      </w:hyperlink>
      <w:r>
        <w:t>.</w:t>
      </w:r>
    </w:p>
    <w:p w14:paraId="78FB0112" w14:textId="64782C39" w:rsidR="00C07A48" w:rsidRPr="00D77BEB" w:rsidRDefault="00C07A48" w:rsidP="00C07A48">
      <w:pPr>
        <w:ind w:left="360" w:hanging="360"/>
      </w:pPr>
      <w:proofErr w:type="spellStart"/>
      <w:r w:rsidRPr="00C07A48">
        <w:t>Bougeault</w:t>
      </w:r>
      <w:proofErr w:type="spellEnd"/>
      <w:r w:rsidRPr="00C07A48">
        <w:t xml:space="preserve">, P., and Coauthors, 2010: The THORPEX Interactive Grand Global Ensemble. </w:t>
      </w:r>
      <w:r w:rsidRPr="00C07A48">
        <w:rPr>
          <w:i/>
        </w:rPr>
        <w:t>Bull. Amer. Meteor. Soc.</w:t>
      </w:r>
      <w:r w:rsidRPr="00C07A48">
        <w:t xml:space="preserve">, </w:t>
      </w:r>
      <w:r w:rsidRPr="00C07A48">
        <w:rPr>
          <w:b/>
        </w:rPr>
        <w:t>91</w:t>
      </w:r>
      <w:r w:rsidRPr="00C07A48">
        <w:t xml:space="preserve">, 1059–1072, </w:t>
      </w:r>
      <w:hyperlink r:id="rId15" w:history="1">
        <w:r w:rsidRPr="00C07A48">
          <w:rPr>
            <w:rStyle w:val="Hyperlink"/>
          </w:rPr>
          <w:t>https://doi.org/10.1175/2010BAMS2853.1</w:t>
        </w:r>
      </w:hyperlink>
      <w:r w:rsidRPr="00C07A48">
        <w:t>.</w:t>
      </w:r>
    </w:p>
    <w:p w14:paraId="63A94DE5" w14:textId="7A16D6B6" w:rsidR="00C0034C" w:rsidRDefault="00163F86" w:rsidP="00C0034C">
      <w:pPr>
        <w:ind w:left="360" w:hanging="360"/>
      </w:pPr>
      <w:proofErr w:type="spellStart"/>
      <w:r w:rsidRPr="00163F86">
        <w:t>Brodzik</w:t>
      </w:r>
      <w:proofErr w:type="spellEnd"/>
      <w:r w:rsidRPr="00163F86">
        <w:t xml:space="preserve">, M. J., B. Billingsley, T. Haran, B. </w:t>
      </w:r>
      <w:proofErr w:type="spellStart"/>
      <w:r w:rsidRPr="00163F86">
        <w:t>Raup</w:t>
      </w:r>
      <w:proofErr w:type="spellEnd"/>
      <w:r w:rsidRPr="00163F86">
        <w:t xml:space="preserve">, and M. H. </w:t>
      </w:r>
      <w:proofErr w:type="spellStart"/>
      <w:r w:rsidRPr="00163F86">
        <w:t>Savoie</w:t>
      </w:r>
      <w:proofErr w:type="spellEnd"/>
      <w:r w:rsidRPr="00163F86">
        <w:t xml:space="preserve">, 2012: EASE-Grid 2.0: Incremental but significant improvements for Earth-gridded data sets. </w:t>
      </w:r>
      <w:r w:rsidRPr="00163F86">
        <w:rPr>
          <w:i/>
          <w:iCs/>
        </w:rPr>
        <w:t xml:space="preserve">ISPRS Int. J. </w:t>
      </w:r>
      <w:proofErr w:type="spellStart"/>
      <w:r w:rsidRPr="00163F86">
        <w:rPr>
          <w:i/>
          <w:iCs/>
        </w:rPr>
        <w:t>Geoinf</w:t>
      </w:r>
      <w:proofErr w:type="spellEnd"/>
      <w:r w:rsidRPr="00163F86">
        <w:rPr>
          <w:i/>
          <w:iCs/>
        </w:rPr>
        <w:t>.</w:t>
      </w:r>
      <w:r w:rsidRPr="00163F86">
        <w:t xml:space="preserve">, </w:t>
      </w:r>
      <w:r w:rsidRPr="00163F86">
        <w:rPr>
          <w:b/>
          <w:bCs/>
        </w:rPr>
        <w:t>1</w:t>
      </w:r>
      <w:r w:rsidRPr="00163F86">
        <w:t xml:space="preserve">, 32–45, </w:t>
      </w:r>
      <w:hyperlink r:id="rId16" w:history="1">
        <w:r w:rsidRPr="00747EF0">
          <w:rPr>
            <w:rStyle w:val="Hyperlink"/>
          </w:rPr>
          <w:t>https://doi.org/10.3390/ijgi1010032</w:t>
        </w:r>
      </w:hyperlink>
      <w:r w:rsidRPr="00163F86">
        <w:t>.</w:t>
      </w:r>
    </w:p>
    <w:p w14:paraId="75E01C26" w14:textId="5FF4609A" w:rsidR="00527D6B" w:rsidRDefault="00527D6B" w:rsidP="00EA4B43">
      <w:pPr>
        <w:ind w:left="360" w:hanging="360"/>
      </w:pPr>
      <w:proofErr w:type="spellStart"/>
      <w:r>
        <w:t>Capute</w:t>
      </w:r>
      <w:proofErr w:type="spellEnd"/>
      <w:r>
        <w:t xml:space="preserve">, P. K., and R. D. Torn, 2021: A comparison of Arctic and Atlantic cyclone predictability. </w:t>
      </w:r>
      <w:r w:rsidRPr="007C5835">
        <w:rPr>
          <w:i/>
        </w:rPr>
        <w:t>Mon. Wea. Rev.</w:t>
      </w:r>
      <w:r>
        <w:t xml:space="preserve">, </w:t>
      </w:r>
      <w:r w:rsidRPr="007C5835">
        <w:rPr>
          <w:b/>
        </w:rPr>
        <w:t>149</w:t>
      </w:r>
      <w:r>
        <w:t xml:space="preserve">, 3837–3849, </w:t>
      </w:r>
      <w:hyperlink r:id="rId17" w:history="1">
        <w:r w:rsidR="00EA4B43" w:rsidRPr="00926B03">
          <w:rPr>
            <w:rStyle w:val="Hyperlink"/>
          </w:rPr>
          <w:t>https://doi.org/10.1175/MWR-D-20-0350.1</w:t>
        </w:r>
      </w:hyperlink>
      <w:r>
        <w:t>.</w:t>
      </w:r>
    </w:p>
    <w:p w14:paraId="0737C017" w14:textId="0836BAAA" w:rsidR="006B2D8E" w:rsidRDefault="006B2D8E" w:rsidP="006B2D8E">
      <w:pPr>
        <w:ind w:left="360" w:hanging="360"/>
      </w:pPr>
      <w:r w:rsidRPr="006B2D8E">
        <w:t xml:space="preserve">Carlson, T. N., 1998: </w:t>
      </w:r>
      <w:r w:rsidRPr="006B2D8E">
        <w:rPr>
          <w:i/>
        </w:rPr>
        <w:t>Mid-Latitude Weather Systems</w:t>
      </w:r>
      <w:r w:rsidRPr="006B2D8E">
        <w:t>. Amer. Meteor. Soc., 507 pp.</w:t>
      </w:r>
    </w:p>
    <w:p w14:paraId="1A6A8122" w14:textId="231B469B" w:rsidR="00527D6B" w:rsidRDefault="00527D6B" w:rsidP="00EA4B43">
      <w:pPr>
        <w:ind w:left="360" w:hanging="360"/>
      </w:pPr>
      <w:r>
        <w:t xml:space="preserve">Cavallo, S. M., and G. J. Hakim, 2010: Composite structure of tropopause polar cyclones. </w:t>
      </w:r>
      <w:r w:rsidRPr="007C5835">
        <w:rPr>
          <w:i/>
        </w:rPr>
        <w:t>Mon. Wea. Rev.</w:t>
      </w:r>
      <w:r>
        <w:t xml:space="preserve">, </w:t>
      </w:r>
      <w:r w:rsidRPr="007C5835">
        <w:rPr>
          <w:b/>
        </w:rPr>
        <w:t>138</w:t>
      </w:r>
      <w:r>
        <w:t xml:space="preserve">, 3840–3857, </w:t>
      </w:r>
      <w:hyperlink r:id="rId18" w:history="1">
        <w:r w:rsidR="00EA4B43" w:rsidRPr="00926B03">
          <w:rPr>
            <w:rStyle w:val="Hyperlink"/>
          </w:rPr>
          <w:t>https://doi.org/10.1175/2010MWR3371.1</w:t>
        </w:r>
      </w:hyperlink>
      <w:r>
        <w:t>.</w:t>
      </w:r>
    </w:p>
    <w:p w14:paraId="56A26BC5" w14:textId="245CB812" w:rsidR="00D67991" w:rsidRDefault="00D67991" w:rsidP="00D67991">
      <w:pPr>
        <w:ind w:left="360" w:hanging="360"/>
      </w:pPr>
      <w:r w:rsidRPr="00D67991">
        <w:t xml:space="preserve">Chang, E. K. M., M. Zheng, and K. Raeder, 2013: Medium-range ensemble sensitivity analysis of two extreme pacific extratropical cyclones. </w:t>
      </w:r>
      <w:r w:rsidRPr="00D67991">
        <w:rPr>
          <w:i/>
        </w:rPr>
        <w:t>Mon. Wea. Rev.</w:t>
      </w:r>
      <w:r w:rsidRPr="00D67991">
        <w:t xml:space="preserve">, </w:t>
      </w:r>
      <w:r w:rsidRPr="00D67991">
        <w:rPr>
          <w:b/>
        </w:rPr>
        <w:t>141</w:t>
      </w:r>
      <w:r w:rsidRPr="00D67991">
        <w:t xml:space="preserve">, 211–231, </w:t>
      </w:r>
      <w:hyperlink r:id="rId19" w:history="1">
        <w:r w:rsidRPr="00D67991">
          <w:rPr>
            <w:rStyle w:val="Hyperlink"/>
          </w:rPr>
          <w:t>https://doi.org/10.1175/MWR-D-11-00304.1</w:t>
        </w:r>
      </w:hyperlink>
      <w:r w:rsidRPr="00D67991">
        <w:t>.</w:t>
      </w:r>
    </w:p>
    <w:p w14:paraId="5E78E4A0" w14:textId="17FDF8EC" w:rsidR="00C0034C" w:rsidRDefault="00C0034C" w:rsidP="002B29FF">
      <w:pPr>
        <w:ind w:left="360" w:hanging="360"/>
      </w:pPr>
      <w:r w:rsidRPr="001733F0">
        <w:t xml:space="preserve">Clancy, R., </w:t>
      </w:r>
      <w:r>
        <w:t xml:space="preserve">C. M. </w:t>
      </w:r>
      <w:proofErr w:type="spellStart"/>
      <w:r w:rsidRPr="001733F0">
        <w:t>Bitz</w:t>
      </w:r>
      <w:proofErr w:type="spellEnd"/>
      <w:r w:rsidRPr="001733F0">
        <w:t>,</w:t>
      </w:r>
      <w:r>
        <w:t xml:space="preserve"> E.</w:t>
      </w:r>
      <w:r w:rsidRPr="001733F0">
        <w:t xml:space="preserve"> Blanchard-Wrigglesworth, </w:t>
      </w:r>
      <w:r>
        <w:t>M. C.</w:t>
      </w:r>
      <w:r w:rsidRPr="001733F0">
        <w:t xml:space="preserve"> McGraw,</w:t>
      </w:r>
      <w:r>
        <w:t xml:space="preserve"> </w:t>
      </w:r>
      <w:r w:rsidRPr="001733F0">
        <w:t xml:space="preserve">and </w:t>
      </w:r>
      <w:r>
        <w:t xml:space="preserve">S. M. </w:t>
      </w:r>
      <w:r w:rsidRPr="001733F0">
        <w:t>Cavallo,</w:t>
      </w:r>
      <w:r>
        <w:t xml:space="preserve"> 2022</w:t>
      </w:r>
      <w:r w:rsidRPr="001733F0">
        <w:t>: A cyclone-centered perspective on</w:t>
      </w:r>
      <w:r>
        <w:t xml:space="preserve"> </w:t>
      </w:r>
      <w:r w:rsidRPr="001733F0">
        <w:t xml:space="preserve">the drivers of asymmetric patterns in the </w:t>
      </w:r>
      <w:r w:rsidRPr="001733F0">
        <w:lastRenderedPageBreak/>
        <w:t>atmosphere and sea ice</w:t>
      </w:r>
      <w:r>
        <w:t xml:space="preserve"> </w:t>
      </w:r>
      <w:r w:rsidRPr="001733F0">
        <w:t>during Arctic cyclones</w:t>
      </w:r>
      <w:r>
        <w:t>.</w:t>
      </w:r>
      <w:r w:rsidRPr="001733F0">
        <w:t xml:space="preserve"> </w:t>
      </w:r>
      <w:r w:rsidRPr="001733F0">
        <w:rPr>
          <w:i/>
          <w:iCs/>
        </w:rPr>
        <w:t>J. Climate</w:t>
      </w:r>
      <w:r w:rsidRPr="001733F0">
        <w:t xml:space="preserve">, </w:t>
      </w:r>
      <w:r w:rsidRPr="001733F0">
        <w:rPr>
          <w:b/>
          <w:bCs/>
        </w:rPr>
        <w:t>35</w:t>
      </w:r>
      <w:r w:rsidRPr="001733F0">
        <w:t xml:space="preserve">, 73–89, </w:t>
      </w:r>
      <w:hyperlink r:id="rId20" w:history="1">
        <w:r w:rsidRPr="00CA293B">
          <w:rPr>
            <w:rStyle w:val="Hyperlink"/>
          </w:rPr>
          <w:t>https://doi.org/10.1175/JCLI-D-21-0093.1</w:t>
        </w:r>
      </w:hyperlink>
      <w:r>
        <w:t>.</w:t>
      </w:r>
    </w:p>
    <w:p w14:paraId="5A5CF846" w14:textId="0822538C" w:rsidR="00527D6B" w:rsidRDefault="00527D6B" w:rsidP="00EA4B43">
      <w:pPr>
        <w:ind w:left="360" w:hanging="360"/>
      </w:pPr>
      <w:r>
        <w:t xml:space="preserve">Crawford, A. D., and M. C. Serreze, 2016: Does the summer Arctic frontal zone influence Arctic Ocean cyclone activity? </w:t>
      </w:r>
      <w:r w:rsidRPr="007C5835">
        <w:rPr>
          <w:i/>
        </w:rPr>
        <w:t>J. Climate</w:t>
      </w:r>
      <w:r>
        <w:t xml:space="preserve">, </w:t>
      </w:r>
      <w:r w:rsidRPr="007C5835">
        <w:rPr>
          <w:b/>
        </w:rPr>
        <w:t>29</w:t>
      </w:r>
      <w:r>
        <w:t xml:space="preserve">, 4977–4993, </w:t>
      </w:r>
      <w:hyperlink r:id="rId21" w:history="1">
        <w:r w:rsidR="00EA4B43" w:rsidRPr="00926B03">
          <w:rPr>
            <w:rStyle w:val="Hyperlink"/>
          </w:rPr>
          <w:t>https://doi.org/10.1175/JCLI-D-15-0755.1</w:t>
        </w:r>
      </w:hyperlink>
      <w:r>
        <w:t>.</w:t>
      </w:r>
    </w:p>
    <w:p w14:paraId="312F3A75" w14:textId="7BF2C9DC" w:rsidR="00527D6B" w:rsidRDefault="00527D6B" w:rsidP="00EA4B43">
      <w:pPr>
        <w:ind w:left="360" w:hanging="360"/>
      </w:pPr>
      <w:r>
        <w:t xml:space="preserve">Crawford, A. D., E. A. P. Schreiber, N. Sommer, M. C. Serreze, J. C. Stroeve, and D. G. Barber, 2021: Sensitivity of Northern Hemisphere cyclone detection and tracking results to fine spatial and temporal resolution using ERA5. </w:t>
      </w:r>
      <w:r w:rsidRPr="007C5835">
        <w:rPr>
          <w:i/>
        </w:rPr>
        <w:t>Mon. Wea. Rev.</w:t>
      </w:r>
      <w:r>
        <w:t xml:space="preserve">, </w:t>
      </w:r>
      <w:r w:rsidRPr="007C5835">
        <w:rPr>
          <w:b/>
        </w:rPr>
        <w:t>149</w:t>
      </w:r>
      <w:r>
        <w:t xml:space="preserve">, 2581–2598, </w:t>
      </w:r>
      <w:hyperlink r:id="rId22" w:history="1">
        <w:r w:rsidR="00EA4B43" w:rsidRPr="00926B03">
          <w:rPr>
            <w:rStyle w:val="Hyperlink"/>
          </w:rPr>
          <w:t>https://doi.org/10.1175/MWR-D-20-0417.1</w:t>
        </w:r>
      </w:hyperlink>
      <w:r>
        <w:t>.</w:t>
      </w:r>
    </w:p>
    <w:p w14:paraId="7F90B486" w14:textId="324787CC" w:rsidR="009A6EE8" w:rsidRDefault="009A6EE8" w:rsidP="009A6EE8">
      <w:pPr>
        <w:ind w:left="360" w:hanging="360"/>
      </w:pPr>
      <w:proofErr w:type="spellStart"/>
      <w:r>
        <w:t>Croad</w:t>
      </w:r>
      <w:proofErr w:type="spellEnd"/>
      <w:r>
        <w:t xml:space="preserve">, H. L., J. Methven, B. Harvey, S. P. E. Keeley, A. </w:t>
      </w:r>
      <w:proofErr w:type="spellStart"/>
      <w:r>
        <w:t>Volonté</w:t>
      </w:r>
      <w:proofErr w:type="spellEnd"/>
      <w:r>
        <w:t>, and K. I. Hodges, 2023: A climatology of summer</w:t>
      </w:r>
      <w:r w:rsidR="00862022">
        <w:t>-</w:t>
      </w:r>
      <w:r>
        <w:t xml:space="preserve">time Arctic cyclones using a modified phase space. </w:t>
      </w:r>
      <w:proofErr w:type="spellStart"/>
      <w:r w:rsidRPr="00B40DC3">
        <w:rPr>
          <w:i/>
        </w:rPr>
        <w:t>Geophys</w:t>
      </w:r>
      <w:proofErr w:type="spellEnd"/>
      <w:r w:rsidRPr="00B40DC3">
        <w:rPr>
          <w:i/>
        </w:rPr>
        <w:t>. Res. Lett.</w:t>
      </w:r>
      <w:r>
        <w:t xml:space="preserve">, </w:t>
      </w:r>
      <w:r w:rsidRPr="009A6EE8">
        <w:rPr>
          <w:b/>
          <w:bCs/>
        </w:rPr>
        <w:t>50</w:t>
      </w:r>
      <w:r>
        <w:t xml:space="preserve">, e2023GL105993. </w:t>
      </w:r>
      <w:hyperlink r:id="rId23" w:history="1">
        <w:r w:rsidRPr="00F33FC7">
          <w:rPr>
            <w:rStyle w:val="Hyperlink"/>
          </w:rPr>
          <w:t>https://doi.org/10.1029/2023GL105993</w:t>
        </w:r>
      </w:hyperlink>
      <w:r>
        <w:t>.</w:t>
      </w:r>
    </w:p>
    <w:p w14:paraId="32D961BB" w14:textId="75770085" w:rsidR="00527D6B" w:rsidRDefault="00527D6B" w:rsidP="00EA4B43">
      <w:pPr>
        <w:ind w:left="360" w:hanging="360"/>
      </w:pPr>
      <w:r>
        <w:t>Dee, D. P., and Coauthors, 2011: The ERA-Interi</w:t>
      </w:r>
      <w:r w:rsidR="002A75FB">
        <w:t xml:space="preserve">m reanalysis: Configuration and </w:t>
      </w:r>
      <w:r>
        <w:t xml:space="preserve">performance of the data assimilation system. </w:t>
      </w:r>
      <w:r w:rsidRPr="007C5835">
        <w:rPr>
          <w:i/>
        </w:rPr>
        <w:t>Quart. J. Roy. Meteor. Soc.</w:t>
      </w:r>
      <w:r>
        <w:t xml:space="preserve">, </w:t>
      </w:r>
      <w:r w:rsidRPr="007C5835">
        <w:rPr>
          <w:b/>
        </w:rPr>
        <w:t>137</w:t>
      </w:r>
      <w:r>
        <w:t xml:space="preserve">, 553–597, </w:t>
      </w:r>
      <w:hyperlink r:id="rId24" w:history="1">
        <w:r w:rsidR="00EA4B43" w:rsidRPr="00926B03">
          <w:rPr>
            <w:rStyle w:val="Hyperlink"/>
          </w:rPr>
          <w:t>https://doi.org/10.1002/qj.828</w:t>
        </w:r>
      </w:hyperlink>
      <w:r>
        <w:t>.</w:t>
      </w:r>
    </w:p>
    <w:p w14:paraId="7A449392" w14:textId="758292FA" w:rsidR="00527D6B" w:rsidRDefault="00527D6B" w:rsidP="00EA4B43">
      <w:pPr>
        <w:ind w:left="360" w:hanging="360"/>
      </w:pPr>
      <w:proofErr w:type="spellStart"/>
      <w:r>
        <w:t>Eguíluz</w:t>
      </w:r>
      <w:proofErr w:type="spellEnd"/>
      <w:r>
        <w:t>, V. M., J. Fernández-</w:t>
      </w:r>
      <w:proofErr w:type="spellStart"/>
      <w:r>
        <w:t>Gracia</w:t>
      </w:r>
      <w:proofErr w:type="spellEnd"/>
      <w:r>
        <w:t xml:space="preserve">, X. </w:t>
      </w:r>
      <w:proofErr w:type="spellStart"/>
      <w:r>
        <w:t>Irigoien</w:t>
      </w:r>
      <w:proofErr w:type="spellEnd"/>
      <w:r>
        <w:t xml:space="preserve">, and C. M. Duarte, 2016: A quantitative assessment of Arctic shipping in </w:t>
      </w:r>
      <w:r w:rsidR="002A75FB">
        <w:t xml:space="preserve">2010–2014. </w:t>
      </w:r>
      <w:r w:rsidR="002A75FB" w:rsidRPr="00B40DC3">
        <w:rPr>
          <w:i/>
        </w:rPr>
        <w:t>Sci. Rep.</w:t>
      </w:r>
      <w:r w:rsidR="002A75FB">
        <w:t xml:space="preserve">, </w:t>
      </w:r>
      <w:r w:rsidR="002A75FB" w:rsidRPr="00B40DC3">
        <w:rPr>
          <w:b/>
        </w:rPr>
        <w:t>6</w:t>
      </w:r>
      <w:r w:rsidR="002A75FB">
        <w:t xml:space="preserve">, 30682, </w:t>
      </w:r>
      <w:hyperlink r:id="rId25" w:history="1">
        <w:r w:rsidR="00EA4B43" w:rsidRPr="00926B03">
          <w:rPr>
            <w:rStyle w:val="Hyperlink"/>
          </w:rPr>
          <w:t>https://doi.org/10.1038/srep30682</w:t>
        </w:r>
      </w:hyperlink>
      <w:r>
        <w:t>.</w:t>
      </w:r>
    </w:p>
    <w:p w14:paraId="66B78CC0" w14:textId="41BD5B8C" w:rsidR="00527D6B" w:rsidRDefault="00527D6B" w:rsidP="00EA4B43">
      <w:pPr>
        <w:ind w:left="360" w:hanging="360"/>
      </w:pPr>
      <w:r>
        <w:t xml:space="preserve">Fearon, M. G., J. D. Doyle, D. R. </w:t>
      </w:r>
      <w:proofErr w:type="spellStart"/>
      <w:r>
        <w:t>Ryglicki</w:t>
      </w:r>
      <w:proofErr w:type="spellEnd"/>
      <w:r>
        <w:t xml:space="preserve">, P. M. Finocchio, and M. Sprenger, 2021: The role of cyclones in moisture transport into the Arctic. </w:t>
      </w:r>
      <w:proofErr w:type="spellStart"/>
      <w:r w:rsidRPr="00B40DC3">
        <w:rPr>
          <w:i/>
        </w:rPr>
        <w:t>Geophys</w:t>
      </w:r>
      <w:proofErr w:type="spellEnd"/>
      <w:r w:rsidRPr="00B40DC3">
        <w:rPr>
          <w:i/>
        </w:rPr>
        <w:t>. Res. Lett.</w:t>
      </w:r>
      <w:r>
        <w:t xml:space="preserve">, </w:t>
      </w:r>
      <w:r w:rsidRPr="00B40DC3">
        <w:rPr>
          <w:b/>
        </w:rPr>
        <w:t>48</w:t>
      </w:r>
      <w:r>
        <w:t xml:space="preserve">, e2020GL090353, </w:t>
      </w:r>
      <w:hyperlink r:id="rId26" w:history="1">
        <w:r w:rsidR="00EA4B43" w:rsidRPr="00926B03">
          <w:rPr>
            <w:rStyle w:val="Hyperlink"/>
          </w:rPr>
          <w:t>https://doi.org/10.1029/2020GL090353</w:t>
        </w:r>
      </w:hyperlink>
      <w:r>
        <w:t>.</w:t>
      </w:r>
    </w:p>
    <w:p w14:paraId="3F600CB7" w14:textId="316014D7" w:rsidR="006F35E4" w:rsidRPr="006F35E4" w:rsidRDefault="006F35E4" w:rsidP="006F35E4">
      <w:pPr>
        <w:ind w:left="360" w:hanging="360"/>
      </w:pPr>
      <w:r w:rsidRPr="006F35E4">
        <w:t xml:space="preserve">Gray, S. L., K. I. Hodges, J. L. </w:t>
      </w:r>
      <w:proofErr w:type="spellStart"/>
      <w:r w:rsidRPr="006F35E4">
        <w:t>Vautrey</w:t>
      </w:r>
      <w:proofErr w:type="spellEnd"/>
      <w:r w:rsidRPr="006F35E4">
        <w:t>, and J. Methven, 2021:</w:t>
      </w:r>
      <w:r>
        <w:t xml:space="preserve"> </w:t>
      </w:r>
      <w:r w:rsidRPr="006F35E4">
        <w:t>The role of tropopause polar vortices in the intensification of</w:t>
      </w:r>
      <w:r>
        <w:t xml:space="preserve"> </w:t>
      </w:r>
      <w:r w:rsidRPr="006F35E4">
        <w:t xml:space="preserve">summer Arctic cyclones. </w:t>
      </w:r>
      <w:r w:rsidRPr="006F35E4">
        <w:rPr>
          <w:i/>
          <w:iCs/>
        </w:rPr>
        <w:t xml:space="preserve">Wea. Climate </w:t>
      </w:r>
      <w:proofErr w:type="spellStart"/>
      <w:r w:rsidRPr="006F35E4">
        <w:rPr>
          <w:i/>
          <w:iCs/>
        </w:rPr>
        <w:t>Dyn</w:t>
      </w:r>
      <w:proofErr w:type="spellEnd"/>
      <w:r w:rsidRPr="006F35E4">
        <w:rPr>
          <w:i/>
          <w:iCs/>
        </w:rPr>
        <w:t>.</w:t>
      </w:r>
      <w:r w:rsidRPr="006F35E4">
        <w:t xml:space="preserve">, </w:t>
      </w:r>
      <w:r w:rsidRPr="006F35E4">
        <w:rPr>
          <w:b/>
          <w:bCs/>
        </w:rPr>
        <w:t>2</w:t>
      </w:r>
      <w:r w:rsidRPr="006F35E4">
        <w:t>, 1303–1324,</w:t>
      </w:r>
      <w:r>
        <w:t xml:space="preserve"> </w:t>
      </w:r>
      <w:hyperlink r:id="rId27" w:history="1">
        <w:r w:rsidRPr="00F33FC7">
          <w:rPr>
            <w:rStyle w:val="Hyperlink"/>
          </w:rPr>
          <w:t>https://doi.org/10.5194/wcd-2-1303-2021</w:t>
        </w:r>
      </w:hyperlink>
      <w:r w:rsidRPr="006F35E4">
        <w:t>.</w:t>
      </w:r>
    </w:p>
    <w:p w14:paraId="1C0EC30B" w14:textId="0BA4A0FB" w:rsidR="008C561F" w:rsidRDefault="00527D6B" w:rsidP="00EA4B43">
      <w:pPr>
        <w:ind w:left="360" w:hanging="360"/>
      </w:pPr>
      <w:r>
        <w:t xml:space="preserve">Hall, C. M., and J. Saarinen, 2010: Polar tourism: Definitions and dimensions. </w:t>
      </w:r>
      <w:r w:rsidRPr="00B40DC3">
        <w:rPr>
          <w:i/>
        </w:rPr>
        <w:t>Scand. J. Hospitality Tourism</w:t>
      </w:r>
      <w:r>
        <w:t xml:space="preserve">, </w:t>
      </w:r>
      <w:r w:rsidRPr="00B40DC3">
        <w:rPr>
          <w:b/>
        </w:rPr>
        <w:t>10</w:t>
      </w:r>
      <w:r>
        <w:t xml:space="preserve">, 448–467, </w:t>
      </w:r>
      <w:hyperlink r:id="rId28" w:history="1">
        <w:r w:rsidR="00EA4B43" w:rsidRPr="00926B03">
          <w:rPr>
            <w:rStyle w:val="Hyperlink"/>
          </w:rPr>
          <w:t>https://doi.org/10.1080/15022250.2010.521686</w:t>
        </w:r>
      </w:hyperlink>
      <w:r>
        <w:t>.</w:t>
      </w:r>
    </w:p>
    <w:p w14:paraId="13B63627" w14:textId="35E37B92" w:rsidR="00527D6B" w:rsidRDefault="00527D6B" w:rsidP="00EA4B43">
      <w:pPr>
        <w:ind w:left="360" w:hanging="360"/>
      </w:pPr>
      <w:r>
        <w:t>Hamill, T. M., G. T. Bates, J. S. Whitaker, D. R. Murray, M. Fiorino, T. J. Galarneau Jr., Y. Zhu,</w:t>
      </w:r>
      <w:r w:rsidR="002A75FB">
        <w:t xml:space="preserve"> </w:t>
      </w:r>
      <w:r>
        <w:t xml:space="preserve">and W. </w:t>
      </w:r>
      <w:proofErr w:type="spellStart"/>
      <w:r>
        <w:t>Lapenta</w:t>
      </w:r>
      <w:proofErr w:type="spellEnd"/>
      <w:r>
        <w:t>, 2013: NOAA’s second-generation global medium-range ensemble</w:t>
      </w:r>
      <w:r w:rsidR="002A75FB">
        <w:t xml:space="preserve"> </w:t>
      </w:r>
      <w:r>
        <w:t xml:space="preserve">reforecast dataset. </w:t>
      </w:r>
      <w:r w:rsidRPr="00B40DC3">
        <w:rPr>
          <w:i/>
        </w:rPr>
        <w:t>Bull. Amer. Meteor. Soc.</w:t>
      </w:r>
      <w:r>
        <w:t xml:space="preserve">, </w:t>
      </w:r>
      <w:r w:rsidRPr="00B40DC3">
        <w:rPr>
          <w:b/>
        </w:rPr>
        <w:t>94</w:t>
      </w:r>
      <w:r>
        <w:t xml:space="preserve">, 1553–1565, </w:t>
      </w:r>
      <w:hyperlink r:id="rId29" w:history="1">
        <w:r w:rsidR="00EA4B43" w:rsidRPr="00926B03">
          <w:rPr>
            <w:rStyle w:val="Hyperlink"/>
          </w:rPr>
          <w:t>https://doi.org/10.1175/BAMS-D-12-00014.1</w:t>
        </w:r>
      </w:hyperlink>
      <w:r>
        <w:t>.</w:t>
      </w:r>
    </w:p>
    <w:p w14:paraId="7AD339DD" w14:textId="6687FD9E" w:rsidR="001C6802" w:rsidRDefault="00B33417" w:rsidP="001C6802">
      <w:pPr>
        <w:ind w:left="360" w:hanging="360"/>
        <w:rPr>
          <w:color w:val="000000" w:themeColor="text1"/>
        </w:rPr>
      </w:pPr>
      <w:proofErr w:type="spellStart"/>
      <w:r w:rsidRPr="00A00C64">
        <w:rPr>
          <w:color w:val="000000" w:themeColor="text1"/>
        </w:rPr>
        <w:lastRenderedPageBreak/>
        <w:t>Hersbach</w:t>
      </w:r>
      <w:proofErr w:type="spellEnd"/>
      <w:r w:rsidRPr="00A00C64">
        <w:rPr>
          <w:color w:val="000000" w:themeColor="text1"/>
        </w:rPr>
        <w:t xml:space="preserve">, H., and Coauthors, 2020: The ERA5 global reanalysis. </w:t>
      </w:r>
      <w:r w:rsidRPr="00A00C64">
        <w:rPr>
          <w:i/>
          <w:iCs/>
          <w:color w:val="000000" w:themeColor="text1"/>
        </w:rPr>
        <w:t>Quart. J. Roy. Meteor. Soc.</w:t>
      </w:r>
      <w:r w:rsidRPr="00A00C64">
        <w:rPr>
          <w:color w:val="000000" w:themeColor="text1"/>
        </w:rPr>
        <w:t xml:space="preserve">, </w:t>
      </w:r>
      <w:r w:rsidRPr="00A00C64">
        <w:rPr>
          <w:b/>
          <w:bCs/>
          <w:color w:val="000000" w:themeColor="text1"/>
        </w:rPr>
        <w:t>146</w:t>
      </w:r>
      <w:r w:rsidRPr="00A00C64">
        <w:rPr>
          <w:color w:val="000000" w:themeColor="text1"/>
        </w:rPr>
        <w:t xml:space="preserve">, 1999–2049, </w:t>
      </w:r>
      <w:hyperlink r:id="rId30" w:history="1">
        <w:r w:rsidR="001C6802" w:rsidRPr="00747EF0">
          <w:rPr>
            <w:rStyle w:val="Hyperlink"/>
          </w:rPr>
          <w:t>https://doi.org/10.1002/qj.3803</w:t>
        </w:r>
      </w:hyperlink>
      <w:r w:rsidRPr="00A00C64">
        <w:rPr>
          <w:color w:val="000000" w:themeColor="text1"/>
        </w:rPr>
        <w:t>.</w:t>
      </w:r>
    </w:p>
    <w:p w14:paraId="5AA1064F" w14:textId="78CB5C14" w:rsidR="009E240D" w:rsidRDefault="009E240D" w:rsidP="009E240D">
      <w:pPr>
        <w:ind w:left="360" w:hanging="360"/>
        <w:rPr>
          <w:color w:val="000000" w:themeColor="text1"/>
        </w:rPr>
      </w:pPr>
      <w:proofErr w:type="spellStart"/>
      <w:r w:rsidRPr="00A00C64">
        <w:rPr>
          <w:color w:val="000000" w:themeColor="text1"/>
        </w:rPr>
        <w:t>Hersbach</w:t>
      </w:r>
      <w:proofErr w:type="spellEnd"/>
      <w:r w:rsidRPr="00A00C64">
        <w:rPr>
          <w:color w:val="000000" w:themeColor="text1"/>
        </w:rPr>
        <w:t>, H., and Coauthors, 202</w:t>
      </w:r>
      <w:r>
        <w:rPr>
          <w:color w:val="000000" w:themeColor="text1"/>
        </w:rPr>
        <w:t>3a</w:t>
      </w:r>
      <w:r w:rsidRPr="00A00C64">
        <w:rPr>
          <w:color w:val="000000" w:themeColor="text1"/>
        </w:rPr>
        <w:t xml:space="preserve">: </w:t>
      </w:r>
      <w:r w:rsidRPr="009E240D">
        <w:rPr>
          <w:color w:val="000000" w:themeColor="text1"/>
        </w:rPr>
        <w:t>ERA5 hourly data on single levels from 1940 to present. Copernicus Climate Change Service (C3S) Climate Data Store (CDS)</w:t>
      </w:r>
      <w:r>
        <w:rPr>
          <w:color w:val="000000" w:themeColor="text1"/>
        </w:rPr>
        <w:t xml:space="preserve">, accessed </w:t>
      </w:r>
      <w:r w:rsidR="0008341E">
        <w:rPr>
          <w:color w:val="000000" w:themeColor="text1"/>
        </w:rPr>
        <w:t>31</w:t>
      </w:r>
      <w:r>
        <w:rPr>
          <w:color w:val="000000" w:themeColor="text1"/>
        </w:rPr>
        <w:t xml:space="preserve"> </w:t>
      </w:r>
      <w:r w:rsidR="0008341E">
        <w:rPr>
          <w:color w:val="000000" w:themeColor="text1"/>
        </w:rPr>
        <w:t>August</w:t>
      </w:r>
      <w:r>
        <w:rPr>
          <w:color w:val="000000" w:themeColor="text1"/>
        </w:rPr>
        <w:t xml:space="preserve"> 2023,</w:t>
      </w:r>
      <w:r w:rsidRPr="009E240D">
        <w:t xml:space="preserve"> </w:t>
      </w:r>
      <w:hyperlink r:id="rId31" w:history="1">
        <w:r w:rsidRPr="00F33FC7">
          <w:rPr>
            <w:rStyle w:val="Hyperlink"/>
          </w:rPr>
          <w:t>https://doi.org/10.24381/cds.adbb2d47</w:t>
        </w:r>
      </w:hyperlink>
      <w:r>
        <w:t>.</w:t>
      </w:r>
    </w:p>
    <w:p w14:paraId="157EBCBB" w14:textId="65EEE386" w:rsidR="009E240D" w:rsidRPr="00A00C64" w:rsidRDefault="009E240D" w:rsidP="009E240D">
      <w:pPr>
        <w:ind w:left="360" w:hanging="360"/>
        <w:rPr>
          <w:color w:val="000000" w:themeColor="text1"/>
        </w:rPr>
      </w:pPr>
      <w:proofErr w:type="spellStart"/>
      <w:r w:rsidRPr="00A00C64">
        <w:rPr>
          <w:color w:val="000000" w:themeColor="text1"/>
        </w:rPr>
        <w:t>Hersbach</w:t>
      </w:r>
      <w:proofErr w:type="spellEnd"/>
      <w:r w:rsidRPr="00A00C64">
        <w:rPr>
          <w:color w:val="000000" w:themeColor="text1"/>
        </w:rPr>
        <w:t>, H., and Coauthors, 202</w:t>
      </w:r>
      <w:r>
        <w:rPr>
          <w:color w:val="000000" w:themeColor="text1"/>
        </w:rPr>
        <w:t>3b</w:t>
      </w:r>
      <w:r w:rsidRPr="00A00C64">
        <w:rPr>
          <w:color w:val="000000" w:themeColor="text1"/>
        </w:rPr>
        <w:t xml:space="preserve">: </w:t>
      </w:r>
      <w:r w:rsidRPr="009E240D">
        <w:rPr>
          <w:color w:val="000000" w:themeColor="text1"/>
        </w:rPr>
        <w:t>ERA5 hourly data on pressure levels from 1940 to present. Copernicus Climate Change Service (C3S) Climate Data Store (CDS)</w:t>
      </w:r>
      <w:r>
        <w:rPr>
          <w:color w:val="000000" w:themeColor="text1"/>
        </w:rPr>
        <w:t xml:space="preserve">, accessed </w:t>
      </w:r>
      <w:r w:rsidR="0008341E">
        <w:rPr>
          <w:color w:val="000000" w:themeColor="text1"/>
        </w:rPr>
        <w:t>31</w:t>
      </w:r>
      <w:r>
        <w:rPr>
          <w:color w:val="000000" w:themeColor="text1"/>
        </w:rPr>
        <w:t xml:space="preserve"> </w:t>
      </w:r>
      <w:r w:rsidR="0008341E">
        <w:rPr>
          <w:color w:val="000000" w:themeColor="text1"/>
        </w:rPr>
        <w:t>August</w:t>
      </w:r>
      <w:r>
        <w:rPr>
          <w:color w:val="000000" w:themeColor="text1"/>
        </w:rPr>
        <w:t xml:space="preserve"> 2023,</w:t>
      </w:r>
      <w:r w:rsidRPr="009E240D">
        <w:t xml:space="preserve"> </w:t>
      </w:r>
      <w:hyperlink r:id="rId32" w:history="1">
        <w:r w:rsidRPr="00F33FC7">
          <w:rPr>
            <w:rStyle w:val="Hyperlink"/>
          </w:rPr>
          <w:t>https://doi.org/10.24381/cds.bd0915c6</w:t>
        </w:r>
      </w:hyperlink>
      <w:r>
        <w:t>.</w:t>
      </w:r>
    </w:p>
    <w:p w14:paraId="71F0168C" w14:textId="5353C64D" w:rsidR="002A6C3B" w:rsidRDefault="002A6C3B" w:rsidP="00EA4B43">
      <w:pPr>
        <w:ind w:left="360" w:hanging="360"/>
        <w:rPr>
          <w:shd w:val="clear" w:color="auto" w:fill="FFFFFF"/>
        </w:rPr>
      </w:pPr>
      <w:r w:rsidRPr="00F34A55">
        <w:rPr>
          <w:shd w:val="clear" w:color="auto" w:fill="FFFFFF"/>
        </w:rPr>
        <w:t xml:space="preserve">Johnson, A., and X. Wang, 2021: Observation impact study of an Arctic cyclone associated with a tropopause polar vortex (TPV)-induced Rossby wave initiation event. </w:t>
      </w:r>
      <w:r w:rsidRPr="00F34A55">
        <w:rPr>
          <w:i/>
          <w:shd w:val="clear" w:color="auto" w:fill="FFFFFF"/>
        </w:rPr>
        <w:t>Mon. Wea. Rev.</w:t>
      </w:r>
      <w:r w:rsidRPr="00F34A55">
        <w:rPr>
          <w:shd w:val="clear" w:color="auto" w:fill="FFFFFF"/>
        </w:rPr>
        <w:t xml:space="preserve">, </w:t>
      </w:r>
      <w:r w:rsidRPr="00F34A55">
        <w:rPr>
          <w:b/>
          <w:shd w:val="clear" w:color="auto" w:fill="FFFFFF"/>
        </w:rPr>
        <w:t>149</w:t>
      </w:r>
      <w:r w:rsidRPr="00F34A55">
        <w:rPr>
          <w:shd w:val="clear" w:color="auto" w:fill="FFFFFF"/>
        </w:rPr>
        <w:t xml:space="preserve">, 1577–1591, </w:t>
      </w:r>
      <w:hyperlink r:id="rId33" w:history="1">
        <w:r w:rsidR="00EA4B43" w:rsidRPr="00926B03">
          <w:rPr>
            <w:rStyle w:val="Hyperlink"/>
            <w:shd w:val="clear" w:color="auto" w:fill="FFFFFF"/>
          </w:rPr>
          <w:t>https://doi.org/10.1175/MWR-D-20-0285.1</w:t>
        </w:r>
      </w:hyperlink>
      <w:r w:rsidRPr="00F34A55">
        <w:rPr>
          <w:shd w:val="clear" w:color="auto" w:fill="FFFFFF"/>
        </w:rPr>
        <w:t>.</w:t>
      </w:r>
    </w:p>
    <w:p w14:paraId="41AA0B81" w14:textId="02596053" w:rsidR="00F945B6" w:rsidRDefault="00F945B6" w:rsidP="00F945B6">
      <w:pPr>
        <w:ind w:left="360" w:hanging="360"/>
        <w:rPr>
          <w:shd w:val="clear" w:color="auto" w:fill="FFFFFF"/>
        </w:rPr>
      </w:pPr>
      <w:proofErr w:type="spellStart"/>
      <w:r w:rsidRPr="00F945B6">
        <w:rPr>
          <w:shd w:val="clear" w:color="auto" w:fill="FFFFFF"/>
        </w:rPr>
        <w:t>Kuo</w:t>
      </w:r>
      <w:proofErr w:type="spellEnd"/>
      <w:r w:rsidRPr="00F945B6">
        <w:rPr>
          <w:shd w:val="clear" w:color="auto" w:fill="FFFFFF"/>
        </w:rPr>
        <w:t xml:space="preserve">, Y.-H., and R. J. Reed, 1988: Numerical simulation of an explosively deepening cyclone in the eastern Pacific. </w:t>
      </w:r>
      <w:r w:rsidRPr="00F844ED">
        <w:rPr>
          <w:i/>
          <w:iCs/>
          <w:shd w:val="clear" w:color="auto" w:fill="FFFFFF"/>
        </w:rPr>
        <w:t>Mon. Wea. Rev.</w:t>
      </w:r>
      <w:r w:rsidRPr="00F945B6">
        <w:rPr>
          <w:shd w:val="clear" w:color="auto" w:fill="FFFFFF"/>
        </w:rPr>
        <w:t xml:space="preserve">, </w:t>
      </w:r>
      <w:r w:rsidRPr="00F844ED">
        <w:rPr>
          <w:b/>
          <w:bCs/>
          <w:shd w:val="clear" w:color="auto" w:fill="FFFFFF"/>
        </w:rPr>
        <w:t>116</w:t>
      </w:r>
      <w:r w:rsidRPr="00F945B6">
        <w:rPr>
          <w:shd w:val="clear" w:color="auto" w:fill="FFFFFF"/>
        </w:rPr>
        <w:t xml:space="preserve">, 2081–2105, </w:t>
      </w:r>
      <w:hyperlink r:id="rId34" w:history="1">
        <w:r w:rsidRPr="00F33FC7">
          <w:rPr>
            <w:rStyle w:val="Hyperlink"/>
            <w:shd w:val="clear" w:color="auto" w:fill="FFFFFF"/>
          </w:rPr>
          <w:t>https://doi.org/10.1175/1520-0493(1988)116&lt;2081:NSOAED&gt;2.0.CO;2</w:t>
        </w:r>
      </w:hyperlink>
      <w:r w:rsidRPr="00F945B6">
        <w:rPr>
          <w:shd w:val="clear" w:color="auto" w:fill="FFFFFF"/>
        </w:rPr>
        <w:t>.</w:t>
      </w:r>
    </w:p>
    <w:p w14:paraId="34D4DEDB" w14:textId="77777777" w:rsidR="00C0034C" w:rsidRDefault="00C0034C" w:rsidP="00C0034C">
      <w:pPr>
        <w:ind w:left="360" w:hanging="360"/>
        <w:rPr>
          <w:shd w:val="clear" w:color="auto" w:fill="FFFFFF"/>
        </w:rPr>
      </w:pPr>
      <w:r w:rsidRPr="000E4D08">
        <w:rPr>
          <w:shd w:val="clear" w:color="auto" w:fill="FFFFFF"/>
        </w:rPr>
        <w:t xml:space="preserve">Lamberson, W. S., R. D. Torn, L. F. </w:t>
      </w:r>
      <w:proofErr w:type="spellStart"/>
      <w:r w:rsidRPr="000E4D08">
        <w:rPr>
          <w:shd w:val="clear" w:color="auto" w:fill="FFFFFF"/>
        </w:rPr>
        <w:t>Bosart</w:t>
      </w:r>
      <w:proofErr w:type="spellEnd"/>
      <w:r w:rsidRPr="000E4D08">
        <w:rPr>
          <w:shd w:val="clear" w:color="auto" w:fill="FFFFFF"/>
        </w:rPr>
        <w:t>, and L. Magnusson, 2016: Diagnosis of the source</w:t>
      </w:r>
      <w:r>
        <w:rPr>
          <w:shd w:val="clear" w:color="auto" w:fill="FFFFFF"/>
        </w:rPr>
        <w:t xml:space="preserve"> </w:t>
      </w:r>
      <w:r w:rsidRPr="000E4D08">
        <w:rPr>
          <w:shd w:val="clear" w:color="auto" w:fill="FFFFFF"/>
        </w:rPr>
        <w:t xml:space="preserve">and evolution of medium-range forecast errors for Extratropical Cyclone Joachim. </w:t>
      </w:r>
      <w:r w:rsidRPr="000E4D08">
        <w:rPr>
          <w:i/>
          <w:iCs/>
          <w:shd w:val="clear" w:color="auto" w:fill="FFFFFF"/>
        </w:rPr>
        <w:t>Wea. Forecasting</w:t>
      </w:r>
      <w:r w:rsidRPr="000E4D08">
        <w:rPr>
          <w:shd w:val="clear" w:color="auto" w:fill="FFFFFF"/>
        </w:rPr>
        <w:t xml:space="preserve">, </w:t>
      </w:r>
      <w:r w:rsidRPr="000E4D08">
        <w:rPr>
          <w:b/>
          <w:bCs/>
          <w:shd w:val="clear" w:color="auto" w:fill="FFFFFF"/>
        </w:rPr>
        <w:t>31</w:t>
      </w:r>
      <w:r w:rsidRPr="000E4D08">
        <w:rPr>
          <w:shd w:val="clear" w:color="auto" w:fill="FFFFFF"/>
        </w:rPr>
        <w:t xml:space="preserve">, 1197–1214, </w:t>
      </w:r>
      <w:hyperlink r:id="rId35" w:history="1">
        <w:r w:rsidRPr="00CA293B">
          <w:rPr>
            <w:rStyle w:val="Hyperlink"/>
            <w:shd w:val="clear" w:color="auto" w:fill="FFFFFF"/>
          </w:rPr>
          <w:t>https://doi.org/10.1175/WAF-D-16-0026.1</w:t>
        </w:r>
      </w:hyperlink>
      <w:r>
        <w:rPr>
          <w:shd w:val="clear" w:color="auto" w:fill="FFFFFF"/>
        </w:rPr>
        <w:t>.</w:t>
      </w:r>
    </w:p>
    <w:p w14:paraId="65765704" w14:textId="77777777" w:rsidR="00C0034C" w:rsidRDefault="00C0034C" w:rsidP="00C0034C">
      <w:pPr>
        <w:ind w:left="360" w:hanging="360"/>
      </w:pPr>
      <w:r w:rsidRPr="006C6F72">
        <w:t xml:space="preserve">Langland, R. H., M. A. Shapiro, and R. </w:t>
      </w:r>
      <w:proofErr w:type="spellStart"/>
      <w:r w:rsidRPr="006C6F72">
        <w:t>Gelaro</w:t>
      </w:r>
      <w:proofErr w:type="spellEnd"/>
      <w:r w:rsidRPr="006C6F72">
        <w:t>, 2002: Initial condition sensitivity and error</w:t>
      </w:r>
      <w:r>
        <w:rPr>
          <w:shd w:val="clear" w:color="auto" w:fill="FFFFFF"/>
        </w:rPr>
        <w:t xml:space="preserve"> </w:t>
      </w:r>
      <w:r w:rsidRPr="006C6F72">
        <w:t xml:space="preserve">growth in forecasts of the 25 January 2000 East Coast snowstorm. </w:t>
      </w:r>
      <w:r w:rsidRPr="006C6F72">
        <w:rPr>
          <w:i/>
          <w:iCs/>
        </w:rPr>
        <w:t>Mon. Wea. Rev.</w:t>
      </w:r>
      <w:r w:rsidRPr="006C6F72">
        <w:t xml:space="preserve">, </w:t>
      </w:r>
      <w:r w:rsidRPr="006C6F72">
        <w:rPr>
          <w:b/>
          <w:bCs/>
        </w:rPr>
        <w:t>130</w:t>
      </w:r>
      <w:r w:rsidRPr="006C6F72">
        <w:t>,</w:t>
      </w:r>
      <w:r>
        <w:rPr>
          <w:shd w:val="clear" w:color="auto" w:fill="FFFFFF"/>
        </w:rPr>
        <w:t xml:space="preserve"> </w:t>
      </w:r>
      <w:r w:rsidRPr="006C6F72">
        <w:t xml:space="preserve">957–974, </w:t>
      </w:r>
      <w:hyperlink r:id="rId36" w:history="1">
        <w:r w:rsidRPr="00CA293B">
          <w:rPr>
            <w:rStyle w:val="Hyperlink"/>
          </w:rPr>
          <w:t>https://doi.org/10.1175/1520-0493(2002)130&lt;0957:ICSAEG&gt;2.0.CO;2</w:t>
        </w:r>
      </w:hyperlink>
      <w:r>
        <w:t>.</w:t>
      </w:r>
    </w:p>
    <w:p w14:paraId="427BE405" w14:textId="77777777" w:rsidR="00C0034C" w:rsidRPr="00D77BEB" w:rsidRDefault="00C0034C" w:rsidP="00C0034C">
      <w:pPr>
        <w:ind w:left="360" w:hanging="360"/>
      </w:pPr>
      <w:r w:rsidRPr="001733F0">
        <w:t xml:space="preserve">Qian, Q., </w:t>
      </w:r>
      <w:r>
        <w:t xml:space="preserve">W. </w:t>
      </w:r>
      <w:r w:rsidRPr="001733F0">
        <w:t xml:space="preserve">Zhong, </w:t>
      </w:r>
      <w:r>
        <w:t>Y.</w:t>
      </w:r>
      <w:r w:rsidRPr="001733F0">
        <w:t xml:space="preserve"> Yao,</w:t>
      </w:r>
      <w:r>
        <w:t xml:space="preserve"> and</w:t>
      </w:r>
      <w:r w:rsidRPr="001733F0">
        <w:t xml:space="preserve"> </w:t>
      </w:r>
      <w:r>
        <w:t>D.</w:t>
      </w:r>
      <w:r w:rsidRPr="001733F0">
        <w:t xml:space="preserve"> Zhang,</w:t>
      </w:r>
      <w:r>
        <w:t xml:space="preserve"> </w:t>
      </w:r>
      <w:r w:rsidRPr="001733F0">
        <w:t>2023</w:t>
      </w:r>
      <w:r>
        <w:t>:</w:t>
      </w:r>
      <w:r w:rsidRPr="001733F0">
        <w:t xml:space="preserve"> Influence of the thermal</w:t>
      </w:r>
      <w:r>
        <w:t xml:space="preserve"> </w:t>
      </w:r>
      <w:r w:rsidRPr="001733F0">
        <w:t>structure on the intensification of the</w:t>
      </w:r>
      <w:r>
        <w:t xml:space="preserve"> </w:t>
      </w:r>
      <w:r w:rsidRPr="001733F0">
        <w:t>extreme Arctic cyclone in August 2016.</w:t>
      </w:r>
      <w:r>
        <w:t xml:space="preserve"> </w:t>
      </w:r>
      <w:r w:rsidRPr="00D77BEB">
        <w:rPr>
          <w:i/>
          <w:color w:val="000000"/>
        </w:rPr>
        <w:t xml:space="preserve">J. </w:t>
      </w:r>
      <w:proofErr w:type="spellStart"/>
      <w:r w:rsidRPr="00D77BEB">
        <w:rPr>
          <w:i/>
          <w:color w:val="000000"/>
        </w:rPr>
        <w:t>Geophys</w:t>
      </w:r>
      <w:proofErr w:type="spellEnd"/>
      <w:r w:rsidRPr="00D77BEB">
        <w:rPr>
          <w:i/>
          <w:color w:val="000000"/>
        </w:rPr>
        <w:t>. Res. Atmos.</w:t>
      </w:r>
      <w:r w:rsidRPr="001733F0">
        <w:t xml:space="preserve">, </w:t>
      </w:r>
      <w:r w:rsidRPr="001733F0">
        <w:rPr>
          <w:b/>
          <w:bCs/>
        </w:rPr>
        <w:t>128</w:t>
      </w:r>
      <w:r w:rsidRPr="001733F0">
        <w:t>, e2023JD038638</w:t>
      </w:r>
      <w:r>
        <w:t xml:space="preserve">, </w:t>
      </w:r>
      <w:hyperlink r:id="rId37" w:history="1">
        <w:r w:rsidRPr="00CA293B">
          <w:rPr>
            <w:rStyle w:val="Hyperlink"/>
          </w:rPr>
          <w:t>https://doi.org/10.1029/2023JD038638</w:t>
        </w:r>
      </w:hyperlink>
      <w:r>
        <w:t>.</w:t>
      </w:r>
    </w:p>
    <w:p w14:paraId="153E1FD9" w14:textId="156D1B45" w:rsidR="00527D6B" w:rsidRDefault="00527D6B" w:rsidP="00C464DC">
      <w:pPr>
        <w:ind w:left="360" w:hanging="360"/>
      </w:pPr>
      <w:r>
        <w:t xml:space="preserve">Sanders, F., 1986: Explosive cyclogenesis over the west-central North Atlantic Ocean, 1981–84. Part II: Evaluation of LFM model performance. </w:t>
      </w:r>
      <w:r w:rsidRPr="000218AC">
        <w:rPr>
          <w:i/>
        </w:rPr>
        <w:t>Mon. Wea. Rev.</w:t>
      </w:r>
      <w:r>
        <w:t xml:space="preserve">, </w:t>
      </w:r>
      <w:r w:rsidRPr="000218AC">
        <w:rPr>
          <w:b/>
        </w:rPr>
        <w:t>114</w:t>
      </w:r>
      <w:r>
        <w:t xml:space="preserve">, 2207–2218, </w:t>
      </w:r>
      <w:hyperlink r:id="rId38" w:history="1">
        <w:r w:rsidR="00C464DC" w:rsidRPr="00926B03">
          <w:rPr>
            <w:rStyle w:val="Hyperlink"/>
          </w:rPr>
          <w:t>https://doi.org/10.1175/1520-0493(1986)114&lt;2207:ECOTWC&gt;2.0.CO;2</w:t>
        </w:r>
      </w:hyperlink>
      <w:r>
        <w:t>.</w:t>
      </w:r>
    </w:p>
    <w:p w14:paraId="031AA6D8" w14:textId="2F92DAD6" w:rsidR="00F945B6" w:rsidRDefault="00F945B6" w:rsidP="00F945B6">
      <w:pPr>
        <w:ind w:left="360" w:hanging="360"/>
      </w:pPr>
      <w:r w:rsidRPr="00F945B6">
        <w:t xml:space="preserve">Sanders, F., 1992: Skill of operational dynamical models in cyclone prediction out to five-days range during ERICA. </w:t>
      </w:r>
      <w:r w:rsidRPr="00F945B6">
        <w:rPr>
          <w:i/>
        </w:rPr>
        <w:t>Wea. Forecasting</w:t>
      </w:r>
      <w:r w:rsidRPr="00F945B6">
        <w:t xml:space="preserve">, </w:t>
      </w:r>
      <w:r w:rsidRPr="00F945B6">
        <w:rPr>
          <w:b/>
        </w:rPr>
        <w:t>7</w:t>
      </w:r>
      <w:r w:rsidRPr="00F945B6">
        <w:t xml:space="preserve">, 3–25, </w:t>
      </w:r>
      <w:hyperlink r:id="rId39" w:history="1">
        <w:r w:rsidRPr="00F945B6">
          <w:rPr>
            <w:rStyle w:val="Hyperlink"/>
          </w:rPr>
          <w:t>https://doi.org/10.1175/1520-0434(1992)007&lt;0003:SOODMI&gt;2.0.CO;2</w:t>
        </w:r>
      </w:hyperlink>
      <w:r w:rsidRPr="00F945B6">
        <w:t>.</w:t>
      </w:r>
    </w:p>
    <w:p w14:paraId="16C582BA" w14:textId="152BD6E6" w:rsidR="00F945B6" w:rsidRDefault="00F945B6" w:rsidP="00F945B6">
      <w:pPr>
        <w:ind w:left="360" w:hanging="360"/>
      </w:pPr>
      <w:r>
        <w:lastRenderedPageBreak/>
        <w:t xml:space="preserve">Sanders, F., S. L. Mullen, and D. P. </w:t>
      </w:r>
      <w:proofErr w:type="spellStart"/>
      <w:r>
        <w:t>Baumhefner</w:t>
      </w:r>
      <w:proofErr w:type="spellEnd"/>
      <w:r>
        <w:t xml:space="preserve">, 2000: Ensemble simulations of explosive cyclogenesis at ranges of 2–5 days. </w:t>
      </w:r>
      <w:r w:rsidRPr="00007CCD">
        <w:rPr>
          <w:i/>
          <w:iCs/>
        </w:rPr>
        <w:t>Mon. Wea. Rev.</w:t>
      </w:r>
      <w:r>
        <w:t xml:space="preserve">, </w:t>
      </w:r>
      <w:r w:rsidRPr="00007CCD">
        <w:rPr>
          <w:b/>
          <w:bCs/>
        </w:rPr>
        <w:t>128</w:t>
      </w:r>
      <w:r>
        <w:t xml:space="preserve">, 2920–2934, </w:t>
      </w:r>
      <w:hyperlink r:id="rId40" w:history="1">
        <w:r w:rsidRPr="00F33FC7">
          <w:rPr>
            <w:rStyle w:val="Hyperlink"/>
          </w:rPr>
          <w:t>https://doi.org/10.1175/1520-0493(2000)128&lt;2920:ESOECA&gt;2.0.CO;2</w:t>
        </w:r>
      </w:hyperlink>
      <w:r>
        <w:t>.</w:t>
      </w:r>
    </w:p>
    <w:p w14:paraId="037BBF37" w14:textId="5EC06FA8" w:rsidR="00527D6B" w:rsidRDefault="00527D6B" w:rsidP="00C464DC">
      <w:pPr>
        <w:ind w:left="360" w:hanging="360"/>
      </w:pPr>
      <w:r>
        <w:t xml:space="preserve">Serreze, M. C., 1995: Climatological aspects of cyclone development and decay in the Arctic. </w:t>
      </w:r>
      <w:r w:rsidRPr="000218AC">
        <w:rPr>
          <w:i/>
        </w:rPr>
        <w:t>Atmos.–Ocean</w:t>
      </w:r>
      <w:r>
        <w:t xml:space="preserve">, </w:t>
      </w:r>
      <w:r w:rsidRPr="000218AC">
        <w:rPr>
          <w:b/>
        </w:rPr>
        <w:t>33</w:t>
      </w:r>
      <w:r>
        <w:t xml:space="preserve">, 1–23, </w:t>
      </w:r>
      <w:hyperlink r:id="rId41" w:history="1">
        <w:r w:rsidR="00C464DC" w:rsidRPr="00926B03">
          <w:rPr>
            <w:rStyle w:val="Hyperlink"/>
          </w:rPr>
          <w:t>https://doi.org/10.1080/07055900.1995.9649522</w:t>
        </w:r>
      </w:hyperlink>
      <w:r>
        <w:t>.</w:t>
      </w:r>
    </w:p>
    <w:p w14:paraId="63DD391B" w14:textId="3E70FEF8" w:rsidR="00067348" w:rsidRDefault="00067348" w:rsidP="00C464DC">
      <w:pPr>
        <w:ind w:left="360" w:hanging="360"/>
        <w:rPr>
          <w:color w:val="000000" w:themeColor="text1"/>
        </w:rPr>
      </w:pPr>
      <w:r w:rsidRPr="00F34A55">
        <w:rPr>
          <w:color w:val="000000" w:themeColor="text1"/>
        </w:rPr>
        <w:t xml:space="preserve">Serreze, M. C., and A. P. Barrett, 2008: The summer cyclone maximum over the central Arctic Ocean. </w:t>
      </w:r>
      <w:r w:rsidRPr="00F34A55">
        <w:rPr>
          <w:i/>
          <w:color w:val="000000" w:themeColor="text1"/>
        </w:rPr>
        <w:t>J. Climate</w:t>
      </w:r>
      <w:r w:rsidRPr="00F34A55">
        <w:rPr>
          <w:color w:val="000000" w:themeColor="text1"/>
        </w:rPr>
        <w:t xml:space="preserve">, </w:t>
      </w:r>
      <w:r w:rsidRPr="00F34A55">
        <w:rPr>
          <w:b/>
          <w:color w:val="000000" w:themeColor="text1"/>
        </w:rPr>
        <w:t>21</w:t>
      </w:r>
      <w:r w:rsidRPr="00F34A55">
        <w:rPr>
          <w:color w:val="000000" w:themeColor="text1"/>
        </w:rPr>
        <w:t xml:space="preserve">, 1048–1065, </w:t>
      </w:r>
      <w:hyperlink r:id="rId42" w:history="1">
        <w:r w:rsidR="00C464DC" w:rsidRPr="00926B03">
          <w:rPr>
            <w:rStyle w:val="Hyperlink"/>
          </w:rPr>
          <w:t>https://doi.org/10.1175/2007JCLI1810.1</w:t>
        </w:r>
      </w:hyperlink>
      <w:r w:rsidRPr="00F34A55">
        <w:rPr>
          <w:color w:val="000000" w:themeColor="text1"/>
        </w:rPr>
        <w:t>.</w:t>
      </w:r>
    </w:p>
    <w:p w14:paraId="63EE3C9E" w14:textId="3C5B680A" w:rsidR="00527D6B" w:rsidRDefault="00527D6B" w:rsidP="00C464DC">
      <w:pPr>
        <w:ind w:left="360" w:hanging="360"/>
      </w:pPr>
      <w:r>
        <w:t xml:space="preserve">Simmonds, I., and I. </w:t>
      </w:r>
      <w:proofErr w:type="spellStart"/>
      <w:r>
        <w:t>Rudeva</w:t>
      </w:r>
      <w:proofErr w:type="spellEnd"/>
      <w:r>
        <w:t xml:space="preserve">, 2012: The great Arctic cyclone of August 2012. </w:t>
      </w:r>
      <w:proofErr w:type="spellStart"/>
      <w:r w:rsidRPr="000218AC">
        <w:rPr>
          <w:i/>
        </w:rPr>
        <w:t>Geophys</w:t>
      </w:r>
      <w:proofErr w:type="spellEnd"/>
      <w:r w:rsidRPr="000218AC">
        <w:rPr>
          <w:i/>
        </w:rPr>
        <w:t>. Res. Lett.</w:t>
      </w:r>
      <w:r>
        <w:t xml:space="preserve">, </w:t>
      </w:r>
      <w:r w:rsidRPr="000218AC">
        <w:rPr>
          <w:b/>
        </w:rPr>
        <w:t>39</w:t>
      </w:r>
      <w:r>
        <w:t xml:space="preserve">, L23709, </w:t>
      </w:r>
      <w:hyperlink r:id="rId43" w:history="1">
        <w:r w:rsidR="00C464DC" w:rsidRPr="00926B03">
          <w:rPr>
            <w:rStyle w:val="Hyperlink"/>
          </w:rPr>
          <w:t>https://doi.org/10.1029/2012GL054259</w:t>
        </w:r>
      </w:hyperlink>
      <w:r>
        <w:t>.</w:t>
      </w:r>
    </w:p>
    <w:p w14:paraId="44E954A7" w14:textId="43CD4145" w:rsidR="00527D6B" w:rsidRDefault="00527D6B" w:rsidP="000A159F">
      <w:pPr>
        <w:ind w:left="360" w:hanging="360"/>
      </w:pPr>
      <w:r>
        <w:t xml:space="preserve">Tao, W., J. Zhang, and X. Zhang, 2017a: The role of stratosphere vortex downward intrusion in a long-lasting late-summer Arctic storm. </w:t>
      </w:r>
      <w:r w:rsidRPr="000218AC">
        <w:rPr>
          <w:i/>
        </w:rPr>
        <w:t>Quart. J. Roy. Meteor. Soc.</w:t>
      </w:r>
      <w:r>
        <w:t xml:space="preserve">, </w:t>
      </w:r>
      <w:r w:rsidRPr="000218AC">
        <w:rPr>
          <w:b/>
        </w:rPr>
        <w:t>143</w:t>
      </w:r>
      <w:r>
        <w:t xml:space="preserve">, 1953–1966, </w:t>
      </w:r>
      <w:hyperlink r:id="rId44" w:history="1">
        <w:r w:rsidR="000A159F" w:rsidRPr="00926B03">
          <w:rPr>
            <w:rStyle w:val="Hyperlink"/>
          </w:rPr>
          <w:t>https://doi.org/10.1002/qj.3055</w:t>
        </w:r>
      </w:hyperlink>
      <w:r>
        <w:t>.</w:t>
      </w:r>
    </w:p>
    <w:p w14:paraId="33E6B1EB" w14:textId="33C8F1BA" w:rsidR="00527D6B" w:rsidRDefault="00527D6B" w:rsidP="000A159F">
      <w:pPr>
        <w:ind w:left="360" w:hanging="360"/>
      </w:pPr>
      <w:r>
        <w:t xml:space="preserve">Tao, W., J. Zhang, Y. Fu, and X. Zhang, 2017b: Driving roles of tropospheric and stratospheric thermal anomalies in intensification and persistence of the Arctic superstorm in 2012. </w:t>
      </w:r>
      <w:proofErr w:type="spellStart"/>
      <w:r w:rsidRPr="000218AC">
        <w:rPr>
          <w:i/>
        </w:rPr>
        <w:t>Geophys</w:t>
      </w:r>
      <w:proofErr w:type="spellEnd"/>
      <w:r w:rsidRPr="000218AC">
        <w:rPr>
          <w:i/>
        </w:rPr>
        <w:t>. Res. Lett.</w:t>
      </w:r>
      <w:r>
        <w:t xml:space="preserve">, </w:t>
      </w:r>
      <w:r w:rsidRPr="000218AC">
        <w:rPr>
          <w:b/>
        </w:rPr>
        <w:t>44</w:t>
      </w:r>
      <w:r>
        <w:t xml:space="preserve">, 10017–10025, </w:t>
      </w:r>
      <w:hyperlink r:id="rId45" w:history="1">
        <w:r w:rsidR="000A159F" w:rsidRPr="00926B03">
          <w:rPr>
            <w:rStyle w:val="Hyperlink"/>
          </w:rPr>
          <w:t>https://doi.org/10.1002/2017GL074778</w:t>
        </w:r>
      </w:hyperlink>
      <w:r>
        <w:t>.</w:t>
      </w:r>
    </w:p>
    <w:p w14:paraId="060D6C97" w14:textId="78923641" w:rsidR="00527D6B" w:rsidRDefault="00527D6B" w:rsidP="000A159F">
      <w:pPr>
        <w:ind w:left="360" w:hanging="360"/>
      </w:pPr>
      <w:r>
        <w:t xml:space="preserve">Thomson, J., and W. E. Rogers, 2014: Swell and sea in the emerging Arctic Ocean. </w:t>
      </w:r>
      <w:proofErr w:type="spellStart"/>
      <w:r w:rsidRPr="000218AC">
        <w:rPr>
          <w:i/>
        </w:rPr>
        <w:t>Geophys</w:t>
      </w:r>
      <w:proofErr w:type="spellEnd"/>
      <w:r w:rsidRPr="000218AC">
        <w:rPr>
          <w:i/>
        </w:rPr>
        <w:t>. Res. Lett.</w:t>
      </w:r>
      <w:r>
        <w:t xml:space="preserve">, </w:t>
      </w:r>
      <w:r w:rsidRPr="000218AC">
        <w:rPr>
          <w:b/>
        </w:rPr>
        <w:t>41</w:t>
      </w:r>
      <w:r>
        <w:t xml:space="preserve">, 3136–3140, </w:t>
      </w:r>
      <w:hyperlink r:id="rId46" w:history="1">
        <w:r w:rsidR="000A159F" w:rsidRPr="00926B03">
          <w:rPr>
            <w:rStyle w:val="Hyperlink"/>
          </w:rPr>
          <w:t>https://doi.org/10.1002/2014GL059983</w:t>
        </w:r>
      </w:hyperlink>
      <w:r>
        <w:t>.</w:t>
      </w:r>
    </w:p>
    <w:p w14:paraId="3BB83AAF" w14:textId="019939DB" w:rsidR="00C0034C" w:rsidRDefault="00C0034C" w:rsidP="00C0034C">
      <w:pPr>
        <w:ind w:left="360" w:hanging="360"/>
      </w:pPr>
      <w:r w:rsidRPr="00C0034C">
        <w:t xml:space="preserve">Torn, R. D., and G. J. Hakim, 2008: Ensemble-based sensitivity analysis. </w:t>
      </w:r>
      <w:r w:rsidRPr="00C0034C">
        <w:rPr>
          <w:i/>
          <w:iCs/>
        </w:rPr>
        <w:t>Mon. Wea. Rev.</w:t>
      </w:r>
      <w:r w:rsidRPr="00C0034C">
        <w:t xml:space="preserve">, </w:t>
      </w:r>
      <w:r w:rsidRPr="00C0034C">
        <w:rPr>
          <w:b/>
          <w:bCs/>
        </w:rPr>
        <w:t>136</w:t>
      </w:r>
      <w:r w:rsidRPr="00C0034C">
        <w:t xml:space="preserve">, 663–677, </w:t>
      </w:r>
      <w:hyperlink r:id="rId47" w:history="1">
        <w:r w:rsidRPr="00C0034C">
          <w:rPr>
            <w:rStyle w:val="Hyperlink"/>
          </w:rPr>
          <w:t>https://doi.org/10.1175/2007MWR2132.1</w:t>
        </w:r>
      </w:hyperlink>
      <w:r w:rsidRPr="00C0034C">
        <w:t>.</w:t>
      </w:r>
    </w:p>
    <w:p w14:paraId="3991A6B9" w14:textId="5D87A140" w:rsidR="00001B01" w:rsidRDefault="00001B01" w:rsidP="00001B01">
      <w:pPr>
        <w:ind w:left="360" w:hanging="360"/>
      </w:pPr>
      <w:r w:rsidRPr="00001B01">
        <w:t>Torn, R. D., and G. J. Hakim, 2015: Comparison of wave packets associated with</w:t>
      </w:r>
      <w:r w:rsidR="0024331A">
        <w:t xml:space="preserve"> </w:t>
      </w:r>
      <w:r w:rsidRPr="00001B01">
        <w:t>extratropical transition and winter cyclones.</w:t>
      </w:r>
      <w:r w:rsidRPr="00001B01">
        <w:rPr>
          <w:i/>
        </w:rPr>
        <w:t xml:space="preserve"> Mon. Wea. Rev.</w:t>
      </w:r>
      <w:r w:rsidRPr="00001B01">
        <w:t xml:space="preserve">, </w:t>
      </w:r>
      <w:r w:rsidRPr="00001B01">
        <w:rPr>
          <w:b/>
        </w:rPr>
        <w:t>143</w:t>
      </w:r>
      <w:r w:rsidRPr="00001B01">
        <w:t>, 1782–1803,</w:t>
      </w:r>
      <w:r>
        <w:t xml:space="preserve"> </w:t>
      </w:r>
      <w:hyperlink r:id="rId48" w:history="1">
        <w:r w:rsidRPr="00001B01">
          <w:rPr>
            <w:rStyle w:val="Hyperlink"/>
          </w:rPr>
          <w:t>https://doi.org/10.1175/MWR-D-14-00006.1</w:t>
        </w:r>
      </w:hyperlink>
      <w:r w:rsidRPr="00001B01">
        <w:t>.</w:t>
      </w:r>
    </w:p>
    <w:p w14:paraId="1B669245" w14:textId="28876879" w:rsidR="0024331A" w:rsidRDefault="0024331A" w:rsidP="0024331A">
      <w:pPr>
        <w:ind w:left="360" w:hanging="360"/>
      </w:pPr>
      <w:r w:rsidRPr="0024331A">
        <w:t>Torn, R. D., and G. S. Romine, 2015: Sensitivity of central Oklahoma convection forecasts to</w:t>
      </w:r>
      <w:r>
        <w:t xml:space="preserve"> </w:t>
      </w:r>
      <w:r w:rsidRPr="0024331A">
        <w:t>upstream potential vorticity anomalies during two strongly forced cases during MPEX.</w:t>
      </w:r>
      <w:r>
        <w:t xml:space="preserve"> </w:t>
      </w:r>
      <w:r w:rsidRPr="0024331A">
        <w:rPr>
          <w:i/>
        </w:rPr>
        <w:t>Mon. Wea. Rev.</w:t>
      </w:r>
      <w:r w:rsidRPr="0024331A">
        <w:t xml:space="preserve">, </w:t>
      </w:r>
      <w:r w:rsidRPr="0024331A">
        <w:rPr>
          <w:b/>
        </w:rPr>
        <w:t>143</w:t>
      </w:r>
      <w:r w:rsidRPr="0024331A">
        <w:t xml:space="preserve">, 4064–4087, </w:t>
      </w:r>
      <w:hyperlink r:id="rId49" w:history="1">
        <w:r w:rsidRPr="0024331A">
          <w:rPr>
            <w:rStyle w:val="Hyperlink"/>
          </w:rPr>
          <w:t>https://doi.org/10.1175/MWR-D-15-0085.1</w:t>
        </w:r>
      </w:hyperlink>
      <w:r w:rsidRPr="0024331A">
        <w:t>.</w:t>
      </w:r>
    </w:p>
    <w:p w14:paraId="241D4F22" w14:textId="1E029802" w:rsidR="00961CF7" w:rsidRDefault="00961CF7" w:rsidP="00961CF7">
      <w:pPr>
        <w:ind w:left="360" w:hanging="360"/>
      </w:pPr>
      <w:proofErr w:type="spellStart"/>
      <w:r w:rsidRPr="00961CF7">
        <w:t>Uccellini</w:t>
      </w:r>
      <w:proofErr w:type="spellEnd"/>
      <w:r w:rsidRPr="00961CF7">
        <w:t xml:space="preserve">, L. W., and P. J. </w:t>
      </w:r>
      <w:proofErr w:type="spellStart"/>
      <w:r w:rsidRPr="00961CF7">
        <w:t>Kocin</w:t>
      </w:r>
      <w:proofErr w:type="spellEnd"/>
      <w:r w:rsidRPr="00961CF7">
        <w:t xml:space="preserve">, 1987: The interaction of jet streak circulations during heavy snow events along the East Coast of the United States. </w:t>
      </w:r>
      <w:r w:rsidRPr="00961CF7">
        <w:rPr>
          <w:i/>
        </w:rPr>
        <w:t>Wea. Forecasting</w:t>
      </w:r>
      <w:r w:rsidRPr="00961CF7">
        <w:t xml:space="preserve">, </w:t>
      </w:r>
      <w:r w:rsidRPr="00961CF7">
        <w:rPr>
          <w:b/>
        </w:rPr>
        <w:t>2</w:t>
      </w:r>
      <w:r w:rsidRPr="00961CF7">
        <w:t xml:space="preserve">, 289–308, </w:t>
      </w:r>
      <w:hyperlink r:id="rId50" w:history="1">
        <w:r w:rsidRPr="00961CF7">
          <w:rPr>
            <w:rStyle w:val="Hyperlink"/>
          </w:rPr>
          <w:t>https://doi.org/10.1175/1520-0434(1987)002&lt;0289:TIOJSC&gt;2.0.CO;2</w:t>
        </w:r>
      </w:hyperlink>
      <w:r w:rsidRPr="00961CF7">
        <w:t>.</w:t>
      </w:r>
    </w:p>
    <w:p w14:paraId="75AE9235" w14:textId="73D5434E" w:rsidR="00C0034C" w:rsidRPr="00C0034C" w:rsidRDefault="00C0034C" w:rsidP="00C0034C">
      <w:pPr>
        <w:ind w:left="360" w:hanging="360"/>
      </w:pPr>
      <w:proofErr w:type="spellStart"/>
      <w:r>
        <w:lastRenderedPageBreak/>
        <w:t>Vessey</w:t>
      </w:r>
      <w:proofErr w:type="spellEnd"/>
      <w:r>
        <w:t xml:space="preserve">, A. F., K. I. Hodges, L. C. </w:t>
      </w:r>
      <w:proofErr w:type="spellStart"/>
      <w:r>
        <w:t>Shaffrey</w:t>
      </w:r>
      <w:proofErr w:type="spellEnd"/>
      <w:r>
        <w:t xml:space="preserve">, and J. J. Day, 2022: The composite development and structure of intense synoptic-scale Arctic cyclones. </w:t>
      </w:r>
      <w:r w:rsidRPr="00207DB5">
        <w:rPr>
          <w:i/>
          <w:iCs/>
        </w:rPr>
        <w:t xml:space="preserve">Weather </w:t>
      </w:r>
      <w:proofErr w:type="spellStart"/>
      <w:r w:rsidRPr="00207DB5">
        <w:rPr>
          <w:i/>
          <w:iCs/>
        </w:rPr>
        <w:t>Clim</w:t>
      </w:r>
      <w:proofErr w:type="spellEnd"/>
      <w:r w:rsidRPr="00207DB5">
        <w:rPr>
          <w:i/>
          <w:iCs/>
        </w:rPr>
        <w:t xml:space="preserve">. </w:t>
      </w:r>
      <w:proofErr w:type="spellStart"/>
      <w:r w:rsidRPr="00207DB5">
        <w:rPr>
          <w:i/>
          <w:iCs/>
        </w:rPr>
        <w:t>Dynam</w:t>
      </w:r>
      <w:proofErr w:type="spellEnd"/>
      <w:r w:rsidRPr="00207DB5">
        <w:rPr>
          <w:i/>
          <w:iCs/>
        </w:rPr>
        <w:t>.</w:t>
      </w:r>
      <w:r w:rsidRPr="00207DB5">
        <w:t xml:space="preserve">, </w:t>
      </w:r>
      <w:r w:rsidRPr="00207DB5">
        <w:rPr>
          <w:b/>
          <w:bCs/>
        </w:rPr>
        <w:t>3</w:t>
      </w:r>
      <w:r w:rsidRPr="00207DB5">
        <w:t xml:space="preserve">, 1097–1112, </w:t>
      </w:r>
      <w:hyperlink r:id="rId51" w:history="1">
        <w:r w:rsidRPr="00CA293B">
          <w:rPr>
            <w:rStyle w:val="Hyperlink"/>
          </w:rPr>
          <w:t>https://doi.org/10.5194/wcd-3-1097-2022</w:t>
        </w:r>
      </w:hyperlink>
      <w:r>
        <w:t>.</w:t>
      </w:r>
    </w:p>
    <w:p w14:paraId="5BBC697C" w14:textId="1FE8E25B" w:rsidR="00527D6B" w:rsidRDefault="00527D6B" w:rsidP="000A159F">
      <w:pPr>
        <w:ind w:left="360" w:hanging="360"/>
      </w:pPr>
      <w:r>
        <w:t xml:space="preserve">Yamagami, A., M. Matsuda, and H. L. Tanaka, 2017: Extreme Arctic cyclone in August 2016. </w:t>
      </w:r>
      <w:r w:rsidRPr="000218AC">
        <w:rPr>
          <w:i/>
        </w:rPr>
        <w:t>Atmos. Sci. Lett.</w:t>
      </w:r>
      <w:r>
        <w:t xml:space="preserve">, </w:t>
      </w:r>
      <w:r w:rsidRPr="000218AC">
        <w:rPr>
          <w:b/>
        </w:rPr>
        <w:t>18</w:t>
      </w:r>
      <w:r>
        <w:t xml:space="preserve">, 307–314, </w:t>
      </w:r>
      <w:hyperlink r:id="rId52" w:history="1">
        <w:r w:rsidR="000A159F" w:rsidRPr="00926B03">
          <w:rPr>
            <w:rStyle w:val="Hyperlink"/>
          </w:rPr>
          <w:t>https://doi.org/10.1002/asl.757</w:t>
        </w:r>
      </w:hyperlink>
      <w:r>
        <w:t>.</w:t>
      </w:r>
    </w:p>
    <w:p w14:paraId="7DCF7985" w14:textId="0A9DCE45" w:rsidR="00527D6B" w:rsidRDefault="00527D6B" w:rsidP="000A159F">
      <w:pPr>
        <w:ind w:left="360" w:hanging="360"/>
      </w:pPr>
      <w:r>
        <w:t xml:space="preserve">Yamagami, A., M. </w:t>
      </w:r>
      <w:proofErr w:type="spellStart"/>
      <w:r>
        <w:t>Matsueda</w:t>
      </w:r>
      <w:proofErr w:type="spellEnd"/>
      <w:r>
        <w:t xml:space="preserve">, and H. L. Tanaka, 2018: Predictability of the 2012 </w:t>
      </w:r>
      <w:r w:rsidR="00D31558">
        <w:t>G</w:t>
      </w:r>
      <w:r>
        <w:t xml:space="preserve">reat Arctic </w:t>
      </w:r>
      <w:r w:rsidR="00A034D0">
        <w:t>C</w:t>
      </w:r>
      <w:r>
        <w:t xml:space="preserve">yclone on medium-range timescales. </w:t>
      </w:r>
      <w:r w:rsidRPr="000218AC">
        <w:rPr>
          <w:i/>
        </w:rPr>
        <w:t>Polar Sci.</w:t>
      </w:r>
      <w:r>
        <w:t xml:space="preserve">, </w:t>
      </w:r>
      <w:r w:rsidRPr="000218AC">
        <w:rPr>
          <w:b/>
        </w:rPr>
        <w:t>15</w:t>
      </w:r>
      <w:r>
        <w:t xml:space="preserve">, 13–23, </w:t>
      </w:r>
      <w:hyperlink r:id="rId53" w:history="1">
        <w:r w:rsidR="000A159F" w:rsidRPr="00926B03">
          <w:rPr>
            <w:rStyle w:val="Hyperlink"/>
          </w:rPr>
          <w:t>https://doi.org/10.1016/j.polar.2018.01.002</w:t>
        </w:r>
      </w:hyperlink>
      <w:r>
        <w:t>.</w:t>
      </w:r>
    </w:p>
    <w:p w14:paraId="63CA9981" w14:textId="17DA446A" w:rsidR="00476084" w:rsidRDefault="00476084" w:rsidP="000A159F">
      <w:pPr>
        <w:ind w:left="360" w:hanging="360"/>
        <w:rPr>
          <w:color w:val="000000" w:themeColor="text1"/>
        </w:rPr>
      </w:pPr>
      <w:r w:rsidRPr="00F34A55">
        <w:rPr>
          <w:color w:val="000000" w:themeColor="text1"/>
        </w:rPr>
        <w:t xml:space="preserve">Yamazaki, A., J. Inoue, K. </w:t>
      </w:r>
      <w:proofErr w:type="spellStart"/>
      <w:r w:rsidRPr="00F34A55">
        <w:rPr>
          <w:color w:val="000000" w:themeColor="text1"/>
        </w:rPr>
        <w:t>Dethloff</w:t>
      </w:r>
      <w:proofErr w:type="spellEnd"/>
      <w:r w:rsidRPr="00F34A55">
        <w:rPr>
          <w:color w:val="000000" w:themeColor="text1"/>
        </w:rPr>
        <w:t xml:space="preserve">, M. </w:t>
      </w:r>
      <w:proofErr w:type="spellStart"/>
      <w:r w:rsidRPr="00F34A55">
        <w:rPr>
          <w:color w:val="000000" w:themeColor="text1"/>
        </w:rPr>
        <w:t>Maturilli</w:t>
      </w:r>
      <w:proofErr w:type="spellEnd"/>
      <w:r w:rsidRPr="00F34A55">
        <w:rPr>
          <w:color w:val="000000" w:themeColor="text1"/>
        </w:rPr>
        <w:t>, and G. König-</w:t>
      </w:r>
      <w:proofErr w:type="spellStart"/>
      <w:r w:rsidRPr="00F34A55">
        <w:rPr>
          <w:color w:val="000000" w:themeColor="text1"/>
        </w:rPr>
        <w:t>Langlo</w:t>
      </w:r>
      <w:proofErr w:type="spellEnd"/>
      <w:r w:rsidRPr="00F34A55">
        <w:rPr>
          <w:color w:val="000000" w:themeColor="text1"/>
        </w:rPr>
        <w:t xml:space="preserve">, 2015: Impact of radiosonde observations on forecasting summertime </w:t>
      </w:r>
      <w:r w:rsidR="00BE4886">
        <w:rPr>
          <w:color w:val="000000" w:themeColor="text1"/>
        </w:rPr>
        <w:t>A</w:t>
      </w:r>
      <w:r w:rsidRPr="00F34A55">
        <w:rPr>
          <w:color w:val="000000" w:themeColor="text1"/>
        </w:rPr>
        <w:t xml:space="preserve">rctic cyclone formation. </w:t>
      </w:r>
      <w:r w:rsidRPr="00F34A55">
        <w:rPr>
          <w:i/>
          <w:color w:val="000000" w:themeColor="text1"/>
        </w:rPr>
        <w:t xml:space="preserve">J. </w:t>
      </w:r>
      <w:proofErr w:type="spellStart"/>
      <w:r w:rsidRPr="00F34A55">
        <w:rPr>
          <w:i/>
          <w:color w:val="000000" w:themeColor="text1"/>
        </w:rPr>
        <w:t>Geophys</w:t>
      </w:r>
      <w:proofErr w:type="spellEnd"/>
      <w:r w:rsidRPr="00F34A55">
        <w:rPr>
          <w:i/>
          <w:color w:val="000000" w:themeColor="text1"/>
        </w:rPr>
        <w:t>. Res. Atmos.</w:t>
      </w:r>
      <w:r w:rsidRPr="00F34A55">
        <w:rPr>
          <w:color w:val="000000" w:themeColor="text1"/>
        </w:rPr>
        <w:t xml:space="preserve">, </w:t>
      </w:r>
      <w:r w:rsidRPr="00F34A55">
        <w:rPr>
          <w:b/>
          <w:color w:val="000000" w:themeColor="text1"/>
        </w:rPr>
        <w:t>120</w:t>
      </w:r>
      <w:r w:rsidRPr="00F34A55">
        <w:rPr>
          <w:color w:val="000000" w:themeColor="text1"/>
        </w:rPr>
        <w:t>, 3249–3273,</w:t>
      </w:r>
      <w:r w:rsidRPr="00F34A55">
        <w:t xml:space="preserve"> </w:t>
      </w:r>
      <w:hyperlink r:id="rId54" w:history="1">
        <w:r w:rsidR="000A159F" w:rsidRPr="00926B03">
          <w:rPr>
            <w:rStyle w:val="Hyperlink"/>
          </w:rPr>
          <w:t>https://doi.org/10.1002/2014JD022925</w:t>
        </w:r>
      </w:hyperlink>
      <w:r w:rsidRPr="00F34A55">
        <w:rPr>
          <w:color w:val="000000" w:themeColor="text1"/>
        </w:rPr>
        <w:t>.</w:t>
      </w:r>
    </w:p>
    <w:p w14:paraId="763C3C41" w14:textId="708C1378" w:rsidR="006F35E4" w:rsidRPr="006F35E4" w:rsidRDefault="006F35E4" w:rsidP="006F35E4">
      <w:pPr>
        <w:ind w:left="360" w:hanging="360"/>
      </w:pPr>
      <w:r w:rsidRPr="006F35E4">
        <w:rPr>
          <w:color w:val="000000" w:themeColor="text1"/>
        </w:rPr>
        <w:t>Yang</w:t>
      </w:r>
      <w:r>
        <w:rPr>
          <w:color w:val="000000" w:themeColor="text1"/>
        </w:rPr>
        <w:t xml:space="preserve">, M., Z. Wang, R. M. </w:t>
      </w:r>
      <w:proofErr w:type="spellStart"/>
      <w:r>
        <w:rPr>
          <w:color w:val="000000" w:themeColor="text1"/>
        </w:rPr>
        <w:t>Rauber</w:t>
      </w:r>
      <w:proofErr w:type="spellEnd"/>
      <w:r>
        <w:rPr>
          <w:color w:val="000000" w:themeColor="text1"/>
        </w:rPr>
        <w:t xml:space="preserve">, and J. E. Walsh, 2024: </w:t>
      </w:r>
      <w:r w:rsidRPr="006F35E4">
        <w:rPr>
          <w:color w:val="000000" w:themeColor="text1"/>
        </w:rPr>
        <w:t xml:space="preserve">Seasonality, </w:t>
      </w:r>
      <w:r>
        <w:rPr>
          <w:color w:val="000000" w:themeColor="text1"/>
        </w:rPr>
        <w:t>l</w:t>
      </w:r>
      <w:r w:rsidRPr="006F35E4">
        <w:rPr>
          <w:color w:val="000000" w:themeColor="text1"/>
        </w:rPr>
        <w:t xml:space="preserve">atitudinal </w:t>
      </w:r>
      <w:r>
        <w:rPr>
          <w:color w:val="000000" w:themeColor="text1"/>
        </w:rPr>
        <w:t>d</w:t>
      </w:r>
      <w:r w:rsidRPr="006F35E4">
        <w:rPr>
          <w:color w:val="000000" w:themeColor="text1"/>
        </w:rPr>
        <w:t xml:space="preserve">ependence, and </w:t>
      </w:r>
      <w:r>
        <w:rPr>
          <w:color w:val="000000" w:themeColor="text1"/>
        </w:rPr>
        <w:t>s</w:t>
      </w:r>
      <w:r w:rsidRPr="006F35E4">
        <w:rPr>
          <w:color w:val="000000" w:themeColor="text1"/>
        </w:rPr>
        <w:t xml:space="preserve">tructural </w:t>
      </w:r>
      <w:r>
        <w:rPr>
          <w:color w:val="000000" w:themeColor="text1"/>
        </w:rPr>
        <w:t>e</w:t>
      </w:r>
      <w:r w:rsidRPr="006F35E4">
        <w:rPr>
          <w:color w:val="000000" w:themeColor="text1"/>
        </w:rPr>
        <w:t xml:space="preserve">volution of Arctic </w:t>
      </w:r>
      <w:r>
        <w:rPr>
          <w:color w:val="000000" w:themeColor="text1"/>
        </w:rPr>
        <w:t>c</w:t>
      </w:r>
      <w:r w:rsidRPr="006F35E4">
        <w:rPr>
          <w:color w:val="000000" w:themeColor="text1"/>
        </w:rPr>
        <w:t>yclones</w:t>
      </w:r>
      <w:r>
        <w:rPr>
          <w:color w:val="000000" w:themeColor="text1"/>
        </w:rPr>
        <w:t xml:space="preserve">, </w:t>
      </w:r>
      <w:r w:rsidRPr="00F34A55">
        <w:rPr>
          <w:i/>
        </w:rPr>
        <w:t>J. Climate</w:t>
      </w:r>
      <w:r w:rsidRPr="00F34A55">
        <w:t xml:space="preserve">, </w:t>
      </w:r>
      <w:r>
        <w:rPr>
          <w:b/>
        </w:rPr>
        <w:t>3</w:t>
      </w:r>
      <w:r w:rsidRPr="00F34A55">
        <w:rPr>
          <w:b/>
        </w:rPr>
        <w:t>7</w:t>
      </w:r>
      <w:r w:rsidRPr="00F34A55">
        <w:t xml:space="preserve">, </w:t>
      </w:r>
      <w:r>
        <w:t>1937</w:t>
      </w:r>
      <w:r w:rsidRPr="00F34A55">
        <w:t>–</w:t>
      </w:r>
      <w:r>
        <w:t xml:space="preserve">1950, </w:t>
      </w:r>
      <w:hyperlink r:id="rId55" w:history="1">
        <w:r w:rsidRPr="00F33FC7">
          <w:rPr>
            <w:rStyle w:val="Hyperlink"/>
          </w:rPr>
          <w:t>https://doi.org/10.1175/JCLI-D-23-0445.1</w:t>
        </w:r>
      </w:hyperlink>
      <w:r>
        <w:t>.</w:t>
      </w:r>
    </w:p>
    <w:p w14:paraId="6DA8D851" w14:textId="54A856BD" w:rsidR="00527D6B" w:rsidRDefault="00527D6B" w:rsidP="000A159F">
      <w:pPr>
        <w:ind w:left="360" w:hanging="360"/>
      </w:pPr>
      <w:r>
        <w:t xml:space="preserve">Zhang, F., C. Snyder, and R. </w:t>
      </w:r>
      <w:proofErr w:type="spellStart"/>
      <w:r>
        <w:t>Rotunno</w:t>
      </w:r>
      <w:proofErr w:type="spellEnd"/>
      <w:r>
        <w:t xml:space="preserve">, 2003: Effects of moist convection on mesoscale predictability. </w:t>
      </w:r>
      <w:r w:rsidRPr="000218AC">
        <w:rPr>
          <w:i/>
        </w:rPr>
        <w:t>J. Atmos. Sci.</w:t>
      </w:r>
      <w:r>
        <w:t xml:space="preserve">, </w:t>
      </w:r>
      <w:r w:rsidRPr="000218AC">
        <w:rPr>
          <w:b/>
        </w:rPr>
        <w:t>60</w:t>
      </w:r>
      <w:r>
        <w:t xml:space="preserve">, 1173–1185, </w:t>
      </w:r>
      <w:hyperlink r:id="rId56" w:history="1">
        <w:r w:rsidR="000A159F" w:rsidRPr="00926B03">
          <w:rPr>
            <w:rStyle w:val="Hyperlink"/>
          </w:rPr>
          <w:t>https://doi.org/10.1175/1520-0469(2003)060&lt;1173:EOMCOM&gt;2.0.CO;2</w:t>
        </w:r>
      </w:hyperlink>
      <w:r>
        <w:t>.</w:t>
      </w:r>
    </w:p>
    <w:p w14:paraId="5223DCF5" w14:textId="78591D56" w:rsidR="00527D6B" w:rsidRDefault="00527D6B" w:rsidP="000A159F">
      <w:pPr>
        <w:ind w:left="360" w:hanging="360"/>
      </w:pPr>
      <w:r>
        <w:t xml:space="preserve">Zhang, F., N. Bei, R. </w:t>
      </w:r>
      <w:proofErr w:type="spellStart"/>
      <w:r>
        <w:t>Rotunno</w:t>
      </w:r>
      <w:proofErr w:type="spellEnd"/>
      <w:r>
        <w:t xml:space="preserve">, C. Snyder, and C. C. Epifanio, 2007: Mesoscale predictability of moist baroclinic waves: Convection-permitting experiments and multistage error growth dynamics. </w:t>
      </w:r>
      <w:r w:rsidRPr="000218AC">
        <w:rPr>
          <w:i/>
        </w:rPr>
        <w:t>J. Atmos. Sci.</w:t>
      </w:r>
      <w:r>
        <w:t xml:space="preserve">, </w:t>
      </w:r>
      <w:r w:rsidRPr="000218AC">
        <w:rPr>
          <w:b/>
        </w:rPr>
        <w:t>64</w:t>
      </w:r>
      <w:r>
        <w:t xml:space="preserve">, 3579–3594, </w:t>
      </w:r>
      <w:hyperlink r:id="rId57" w:history="1">
        <w:r w:rsidR="000A159F" w:rsidRPr="00926B03">
          <w:rPr>
            <w:rStyle w:val="Hyperlink"/>
          </w:rPr>
          <w:t>https://doi.org/10.1175/JAS4028.1</w:t>
        </w:r>
      </w:hyperlink>
      <w:r>
        <w:t>.</w:t>
      </w:r>
    </w:p>
    <w:p w14:paraId="690B7591" w14:textId="6CABBC75" w:rsidR="00527D6B" w:rsidRDefault="00527D6B" w:rsidP="000A159F">
      <w:pPr>
        <w:ind w:left="360" w:hanging="360"/>
      </w:pPr>
      <w:r>
        <w:t xml:space="preserve">Zhang, J., R. Lindsay, A. Schweiger, and M. Steele, 2013: The impact of an intense summer cyclone on 2012 Arctic sea ice retreat. </w:t>
      </w:r>
      <w:proofErr w:type="spellStart"/>
      <w:r w:rsidRPr="000218AC">
        <w:rPr>
          <w:i/>
        </w:rPr>
        <w:t>Geophys</w:t>
      </w:r>
      <w:proofErr w:type="spellEnd"/>
      <w:r w:rsidRPr="000218AC">
        <w:rPr>
          <w:i/>
        </w:rPr>
        <w:t>. Res. Lett.</w:t>
      </w:r>
      <w:r>
        <w:t xml:space="preserve">, </w:t>
      </w:r>
      <w:r w:rsidRPr="000218AC">
        <w:rPr>
          <w:b/>
        </w:rPr>
        <w:t>40</w:t>
      </w:r>
      <w:r>
        <w:t xml:space="preserve">, 720–726, </w:t>
      </w:r>
      <w:hyperlink r:id="rId58" w:history="1">
        <w:r w:rsidR="000A159F" w:rsidRPr="00926B03">
          <w:rPr>
            <w:rStyle w:val="Hyperlink"/>
          </w:rPr>
          <w:t>https://doi.org/10.1002/grl.50190</w:t>
        </w:r>
      </w:hyperlink>
      <w:r>
        <w:t>.</w:t>
      </w:r>
    </w:p>
    <w:p w14:paraId="2622EC53" w14:textId="616E03C8" w:rsidR="006C30E3" w:rsidRDefault="006C30E3" w:rsidP="000A159F">
      <w:pPr>
        <w:ind w:left="360" w:hanging="360"/>
      </w:pPr>
      <w:r w:rsidRPr="00F34A55">
        <w:t xml:space="preserve">Zhang, X., J. E. Walsh, J. Zhang, U. S. Bhatt, and M. Ikeda, 2004: Climatology and interannual variability of Arctic cyclone activity: 1948–2002. </w:t>
      </w:r>
      <w:r w:rsidRPr="00F34A55">
        <w:rPr>
          <w:i/>
        </w:rPr>
        <w:t>J. Climate</w:t>
      </w:r>
      <w:r w:rsidRPr="00F34A55">
        <w:t xml:space="preserve">, </w:t>
      </w:r>
      <w:r w:rsidRPr="00F34A55">
        <w:rPr>
          <w:b/>
        </w:rPr>
        <w:t>17</w:t>
      </w:r>
      <w:r w:rsidRPr="00F34A55">
        <w:t xml:space="preserve">, 2300–2317, </w:t>
      </w:r>
      <w:hyperlink r:id="rId59" w:history="1">
        <w:r w:rsidR="000A159F" w:rsidRPr="00926B03">
          <w:rPr>
            <w:rStyle w:val="Hyperlink"/>
          </w:rPr>
          <w:t>https://doi.org/10.1175/1520-0442(2004)017&lt;2300:CAIVOA&gt;2.0.CO;2</w:t>
        </w:r>
      </w:hyperlink>
      <w:r w:rsidRPr="00F34A55">
        <w:t>.</w:t>
      </w:r>
    </w:p>
    <w:p w14:paraId="17BBEA5C" w14:textId="15FF32E7" w:rsidR="00D96778" w:rsidRDefault="00D96778" w:rsidP="000A159F">
      <w:pPr>
        <w:ind w:left="360" w:hanging="360"/>
      </w:pPr>
      <w:r>
        <w:t xml:space="preserve">Zheng, M., E. K. M. Chang, and B. A. Colle, 2013: Ensemble sensitivity tools for assessing extratropical cyclone intensity and track predictability. </w:t>
      </w:r>
      <w:r w:rsidRPr="00D96778">
        <w:rPr>
          <w:i/>
        </w:rPr>
        <w:t>Wea. Forecasting</w:t>
      </w:r>
      <w:r>
        <w:t xml:space="preserve">, </w:t>
      </w:r>
      <w:r w:rsidRPr="00D96778">
        <w:rPr>
          <w:b/>
        </w:rPr>
        <w:t>28</w:t>
      </w:r>
      <w:r>
        <w:t xml:space="preserve">, 1133–1156, </w:t>
      </w:r>
      <w:hyperlink r:id="rId60" w:history="1">
        <w:r w:rsidR="000A159F" w:rsidRPr="00926B03">
          <w:rPr>
            <w:rStyle w:val="Hyperlink"/>
          </w:rPr>
          <w:t>https://doi.org/10.1175/WAF-D-12-00132.1</w:t>
        </w:r>
      </w:hyperlink>
      <w:r>
        <w:t>.</w:t>
      </w:r>
    </w:p>
    <w:p w14:paraId="6DACF954" w14:textId="1D87BB67" w:rsidR="00527D6B" w:rsidRDefault="00527D6B" w:rsidP="000A159F">
      <w:pPr>
        <w:ind w:left="360" w:hanging="360"/>
      </w:pPr>
      <w:r>
        <w:lastRenderedPageBreak/>
        <w:t xml:space="preserve">Zhu, H., and A. Thorpe, 2006: Predictability of extratropical cyclones: The influence of initial condition and model uncertainties. </w:t>
      </w:r>
      <w:r w:rsidRPr="000218AC">
        <w:rPr>
          <w:i/>
        </w:rPr>
        <w:t>J. Atmos. Sci.</w:t>
      </w:r>
      <w:r>
        <w:t xml:space="preserve">, </w:t>
      </w:r>
      <w:r w:rsidRPr="000218AC">
        <w:rPr>
          <w:b/>
        </w:rPr>
        <w:t>63</w:t>
      </w:r>
      <w:r>
        <w:t xml:space="preserve">, 1483–1497, </w:t>
      </w:r>
      <w:hyperlink r:id="rId61" w:history="1">
        <w:r w:rsidR="000A159F" w:rsidRPr="00926B03">
          <w:rPr>
            <w:rStyle w:val="Hyperlink"/>
          </w:rPr>
          <w:t>https://doi.org/10.1175/JAS3688.1</w:t>
        </w:r>
      </w:hyperlink>
      <w:r>
        <w:t>.</w:t>
      </w:r>
    </w:p>
    <w:p w14:paraId="69D22991" w14:textId="5C484002" w:rsidR="00291D43" w:rsidRDefault="00291D43" w:rsidP="006E19A6"/>
    <w:p w14:paraId="2E195636" w14:textId="77777777" w:rsidR="00DF6403" w:rsidRDefault="00DF6403" w:rsidP="006E19A6"/>
    <w:p w14:paraId="79E3A4D3" w14:textId="77777777" w:rsidR="00DF6403" w:rsidRDefault="00DF6403" w:rsidP="00DF6403">
      <w:pPr>
        <w:spacing w:line="240" w:lineRule="auto"/>
        <w:ind w:firstLine="0"/>
      </w:pPr>
    </w:p>
    <w:p w14:paraId="30D4702D" w14:textId="77777777" w:rsidR="001D05F4" w:rsidRDefault="001D05F4" w:rsidP="00DF6403">
      <w:pPr>
        <w:spacing w:line="240" w:lineRule="auto"/>
        <w:ind w:firstLine="0"/>
      </w:pPr>
    </w:p>
    <w:p w14:paraId="4BA8CA8D" w14:textId="77777777" w:rsidR="001D05F4" w:rsidRDefault="001D05F4" w:rsidP="00DF6403">
      <w:pPr>
        <w:spacing w:line="240" w:lineRule="auto"/>
        <w:ind w:firstLine="0"/>
      </w:pPr>
    </w:p>
    <w:p w14:paraId="50568BAB" w14:textId="77777777" w:rsidR="001D05F4" w:rsidRDefault="001D05F4" w:rsidP="00DF6403">
      <w:pPr>
        <w:spacing w:line="240" w:lineRule="auto"/>
        <w:ind w:firstLine="0"/>
      </w:pPr>
    </w:p>
    <w:p w14:paraId="37649DDC" w14:textId="77777777" w:rsidR="001D05F4" w:rsidRDefault="001D05F4" w:rsidP="00DF6403">
      <w:pPr>
        <w:spacing w:line="240" w:lineRule="auto"/>
        <w:ind w:firstLine="0"/>
      </w:pPr>
    </w:p>
    <w:p w14:paraId="5EE6AF4C" w14:textId="77777777" w:rsidR="001D05F4" w:rsidRDefault="001D05F4" w:rsidP="00DF6403">
      <w:pPr>
        <w:spacing w:line="240" w:lineRule="auto"/>
        <w:ind w:firstLine="0"/>
      </w:pPr>
    </w:p>
    <w:p w14:paraId="55591858" w14:textId="77777777" w:rsidR="001D05F4" w:rsidRDefault="001D05F4" w:rsidP="00DF6403">
      <w:pPr>
        <w:spacing w:line="240" w:lineRule="auto"/>
        <w:ind w:firstLine="0"/>
      </w:pPr>
    </w:p>
    <w:p w14:paraId="3084B6B1" w14:textId="77777777" w:rsidR="001D05F4" w:rsidRDefault="001D05F4" w:rsidP="00DF6403">
      <w:pPr>
        <w:spacing w:line="240" w:lineRule="auto"/>
        <w:ind w:firstLine="0"/>
      </w:pPr>
    </w:p>
    <w:p w14:paraId="23BD8A82" w14:textId="77777777" w:rsidR="001D05F4" w:rsidRDefault="001D05F4" w:rsidP="00DF6403">
      <w:pPr>
        <w:spacing w:line="240" w:lineRule="auto"/>
        <w:ind w:firstLine="0"/>
      </w:pPr>
    </w:p>
    <w:p w14:paraId="23F4E11C" w14:textId="77777777" w:rsidR="001D05F4" w:rsidRDefault="001D05F4" w:rsidP="00DF6403">
      <w:pPr>
        <w:spacing w:line="240" w:lineRule="auto"/>
        <w:ind w:firstLine="0"/>
      </w:pPr>
    </w:p>
    <w:p w14:paraId="24CDA9F5" w14:textId="77777777" w:rsidR="001D05F4" w:rsidRDefault="001D05F4" w:rsidP="00DF6403">
      <w:pPr>
        <w:spacing w:line="240" w:lineRule="auto"/>
        <w:ind w:firstLine="0"/>
      </w:pPr>
    </w:p>
    <w:p w14:paraId="30C53FCE" w14:textId="77777777" w:rsidR="001D05F4" w:rsidRDefault="001D05F4" w:rsidP="00DF6403">
      <w:pPr>
        <w:spacing w:line="240" w:lineRule="auto"/>
        <w:ind w:firstLine="0"/>
      </w:pPr>
    </w:p>
    <w:p w14:paraId="67D7099C" w14:textId="77777777" w:rsidR="001D05F4" w:rsidRDefault="001D05F4" w:rsidP="00DF6403">
      <w:pPr>
        <w:spacing w:line="240" w:lineRule="auto"/>
        <w:ind w:firstLine="0"/>
      </w:pPr>
    </w:p>
    <w:p w14:paraId="51C4F40F" w14:textId="77777777" w:rsidR="001D05F4" w:rsidRDefault="001D05F4" w:rsidP="00DF6403">
      <w:pPr>
        <w:spacing w:line="240" w:lineRule="auto"/>
        <w:ind w:firstLine="0"/>
      </w:pPr>
    </w:p>
    <w:p w14:paraId="6CF60ADC" w14:textId="77777777" w:rsidR="001D05F4" w:rsidRDefault="001D05F4" w:rsidP="00DF6403">
      <w:pPr>
        <w:spacing w:line="240" w:lineRule="auto"/>
        <w:ind w:firstLine="0"/>
      </w:pPr>
    </w:p>
    <w:p w14:paraId="6E22F688" w14:textId="77777777" w:rsidR="001D05F4" w:rsidRDefault="001D05F4" w:rsidP="00DF6403">
      <w:pPr>
        <w:spacing w:line="240" w:lineRule="auto"/>
        <w:ind w:firstLine="0"/>
      </w:pPr>
    </w:p>
    <w:p w14:paraId="676FC277" w14:textId="77777777" w:rsidR="001D05F4" w:rsidRDefault="001D05F4" w:rsidP="00DF6403">
      <w:pPr>
        <w:spacing w:line="240" w:lineRule="auto"/>
        <w:ind w:firstLine="0"/>
      </w:pPr>
    </w:p>
    <w:p w14:paraId="78E46EB6" w14:textId="77777777" w:rsidR="001D05F4" w:rsidRDefault="001D05F4" w:rsidP="00DF6403">
      <w:pPr>
        <w:spacing w:line="240" w:lineRule="auto"/>
        <w:ind w:firstLine="0"/>
      </w:pPr>
    </w:p>
    <w:p w14:paraId="1FBF818E" w14:textId="77777777" w:rsidR="001D05F4" w:rsidRDefault="001D05F4" w:rsidP="00DF6403">
      <w:pPr>
        <w:spacing w:line="240" w:lineRule="auto"/>
        <w:ind w:firstLine="0"/>
      </w:pPr>
    </w:p>
    <w:p w14:paraId="155E7BD6" w14:textId="77777777" w:rsidR="001D05F4" w:rsidRDefault="001D05F4" w:rsidP="00DF6403">
      <w:pPr>
        <w:spacing w:line="240" w:lineRule="auto"/>
        <w:ind w:firstLine="0"/>
      </w:pPr>
    </w:p>
    <w:p w14:paraId="0DC15AAC" w14:textId="77777777" w:rsidR="001D05F4" w:rsidRDefault="001D05F4" w:rsidP="00DF6403">
      <w:pPr>
        <w:spacing w:line="240" w:lineRule="auto"/>
        <w:ind w:firstLine="0"/>
      </w:pPr>
    </w:p>
    <w:p w14:paraId="5C89ACC0" w14:textId="77777777" w:rsidR="001D05F4" w:rsidRDefault="001D05F4" w:rsidP="00DF6403">
      <w:pPr>
        <w:spacing w:line="240" w:lineRule="auto"/>
        <w:ind w:firstLine="0"/>
      </w:pPr>
    </w:p>
    <w:p w14:paraId="2D833A0F" w14:textId="77777777" w:rsidR="001D05F4" w:rsidRDefault="001D05F4" w:rsidP="00DF6403">
      <w:pPr>
        <w:spacing w:line="240" w:lineRule="auto"/>
        <w:ind w:firstLine="0"/>
      </w:pPr>
    </w:p>
    <w:p w14:paraId="6C976C5E" w14:textId="77777777" w:rsidR="001D05F4" w:rsidRDefault="001D05F4" w:rsidP="00DF6403">
      <w:pPr>
        <w:spacing w:line="240" w:lineRule="auto"/>
        <w:ind w:firstLine="0"/>
      </w:pPr>
    </w:p>
    <w:p w14:paraId="0AF71BC5" w14:textId="77777777" w:rsidR="001D05F4" w:rsidRDefault="001D05F4" w:rsidP="00DF6403">
      <w:pPr>
        <w:spacing w:line="240" w:lineRule="auto"/>
        <w:ind w:firstLine="0"/>
      </w:pPr>
    </w:p>
    <w:p w14:paraId="39366819" w14:textId="77777777" w:rsidR="001D05F4" w:rsidRDefault="001D05F4" w:rsidP="00DF6403">
      <w:pPr>
        <w:spacing w:line="240" w:lineRule="auto"/>
        <w:ind w:firstLine="0"/>
      </w:pPr>
    </w:p>
    <w:p w14:paraId="0408BF6F" w14:textId="77777777" w:rsidR="001D05F4" w:rsidRDefault="001D05F4" w:rsidP="00DF6403">
      <w:pPr>
        <w:spacing w:line="240" w:lineRule="auto"/>
        <w:ind w:firstLine="0"/>
      </w:pPr>
    </w:p>
    <w:p w14:paraId="06D68063" w14:textId="77777777" w:rsidR="001D05F4" w:rsidRDefault="001D05F4" w:rsidP="00DF6403">
      <w:pPr>
        <w:spacing w:line="240" w:lineRule="auto"/>
        <w:ind w:firstLine="0"/>
      </w:pPr>
    </w:p>
    <w:p w14:paraId="09D35DB3" w14:textId="77777777" w:rsidR="001D05F4" w:rsidRDefault="001D05F4" w:rsidP="001D05F4">
      <w:pPr>
        <w:spacing w:before="0" w:after="0" w:line="240" w:lineRule="auto"/>
        <w:ind w:firstLine="0"/>
        <w:rPr>
          <w:i/>
          <w:iCs/>
        </w:rPr>
      </w:pPr>
      <w:r w:rsidRPr="001D05F4">
        <w:rPr>
          <w:i/>
          <w:iCs/>
        </w:rPr>
        <w:lastRenderedPageBreak/>
        <w:t>Table and Figure Captions</w:t>
      </w:r>
    </w:p>
    <w:p w14:paraId="536F01E0" w14:textId="77777777" w:rsidR="001D05F4" w:rsidRPr="001D05F4" w:rsidRDefault="001D05F4" w:rsidP="001D05F4">
      <w:pPr>
        <w:spacing w:before="0" w:after="0" w:line="240" w:lineRule="auto"/>
        <w:ind w:firstLine="0"/>
        <w:rPr>
          <w:i/>
          <w:iCs/>
        </w:rPr>
      </w:pPr>
    </w:p>
    <w:p w14:paraId="2B5514A9" w14:textId="77777777" w:rsidR="001D05F4" w:rsidRPr="001D05F4" w:rsidRDefault="001D05F4" w:rsidP="001D05F4">
      <w:pPr>
        <w:snapToGrid/>
        <w:spacing w:before="0" w:after="0" w:line="240" w:lineRule="auto"/>
        <w:ind w:firstLine="0"/>
        <w:rPr>
          <w:rFonts w:eastAsia="MS Mincho"/>
          <w:szCs w:val="24"/>
        </w:rPr>
      </w:pPr>
      <w:r w:rsidRPr="001D05F4">
        <w:rPr>
          <w:rFonts w:eastAsia="MS Mincho"/>
          <w:szCs w:val="24"/>
        </w:rPr>
        <w:t>Table 1. Dates and lowest SLP attained within the Arctic (</w:t>
      </w:r>
      <w:proofErr w:type="spellStart"/>
      <w:r w:rsidRPr="001D05F4">
        <w:rPr>
          <w:rFonts w:eastAsia="MS Mincho"/>
          <w:szCs w:val="24"/>
        </w:rPr>
        <w:t>hPa</w:t>
      </w:r>
      <w:proofErr w:type="spellEnd"/>
      <w:r w:rsidRPr="001D05F4">
        <w:rPr>
          <w:rFonts w:eastAsia="MS Mincho"/>
          <w:szCs w:val="24"/>
        </w:rPr>
        <w:t>) for the strong low-skill ACs.</w:t>
      </w:r>
    </w:p>
    <w:p w14:paraId="3C5DB5C1" w14:textId="77777777" w:rsidR="001D05F4" w:rsidRDefault="001D05F4" w:rsidP="001D05F4">
      <w:pPr>
        <w:spacing w:before="0" w:after="0" w:line="240" w:lineRule="auto"/>
        <w:ind w:firstLine="0"/>
      </w:pPr>
    </w:p>
    <w:p w14:paraId="5C285750"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 xml:space="preserve">Fig. 1. Red lines indicate tracks of the strong low-skill ACs, every 6 h, yellow circles indicate locations of the ACs at genesis, and cyan circles indicate locations of the ACs at </w:t>
      </w:r>
      <w:proofErr w:type="spellStart"/>
      <w:r w:rsidRPr="001D05F4">
        <w:rPr>
          <w:rFonts w:eastAsia="MS Mincho"/>
          <w:szCs w:val="24"/>
        </w:rPr>
        <w:t>t</w:t>
      </w:r>
      <w:r w:rsidRPr="001D05F4">
        <w:rPr>
          <w:rFonts w:eastAsia="MS Mincho"/>
          <w:szCs w:val="24"/>
          <w:vertAlign w:val="subscript"/>
        </w:rPr>
        <w:t>low</w:t>
      </w:r>
      <w:proofErr w:type="spellEnd"/>
      <w:r w:rsidRPr="001D05F4">
        <w:rPr>
          <w:rFonts w:eastAsia="MS Mincho"/>
          <w:szCs w:val="24"/>
        </w:rPr>
        <w:t xml:space="preserve"> (i.e., time of lowest SLP attained by the ACs within the Arctic).</w:t>
      </w:r>
    </w:p>
    <w:p w14:paraId="6A12C007" w14:textId="77777777" w:rsidR="001D05F4" w:rsidRDefault="001D05F4" w:rsidP="001D05F4">
      <w:pPr>
        <w:spacing w:before="0" w:after="0" w:line="240" w:lineRule="auto"/>
        <w:ind w:firstLine="0"/>
      </w:pPr>
    </w:p>
    <w:p w14:paraId="14651FCB" w14:textId="77777777" w:rsidR="001D05F4" w:rsidRPr="001D05F4" w:rsidRDefault="001D05F4" w:rsidP="001D05F4">
      <w:pPr>
        <w:tabs>
          <w:tab w:val="left" w:pos="1993"/>
        </w:tabs>
        <w:spacing w:before="0" w:after="0" w:line="240" w:lineRule="auto"/>
        <w:ind w:firstLine="0"/>
      </w:pPr>
      <w:r w:rsidRPr="001D05F4">
        <w:t>Fig. 2. (a) Track (red line) and (b) minimum SLP (red line) of AC16 during 1800 UTC 12–0600 UTC 22 August 2016, every 6 h. Cyan dots in (a) indicate 0000 UTC positions of AC16.</w:t>
      </w:r>
    </w:p>
    <w:p w14:paraId="4CE6C1CD" w14:textId="77777777" w:rsidR="001D05F4" w:rsidRDefault="001D05F4" w:rsidP="001D05F4">
      <w:pPr>
        <w:spacing w:before="0" w:after="0" w:line="240" w:lineRule="auto"/>
        <w:ind w:firstLine="0"/>
      </w:pPr>
    </w:p>
    <w:p w14:paraId="6A983624" w14:textId="77777777" w:rsidR="001D05F4" w:rsidRPr="001D05F4" w:rsidRDefault="001D05F4" w:rsidP="001D05F4">
      <w:pPr>
        <w:tabs>
          <w:tab w:val="left" w:pos="1993"/>
        </w:tabs>
        <w:spacing w:before="0" w:after="0" w:line="240" w:lineRule="auto"/>
        <w:ind w:firstLine="0"/>
      </w:pPr>
      <w:r w:rsidRPr="001D05F4">
        <w:t xml:space="preserve">Fig. 3. Positions of AC16 for the ensemble forecasts (colored dots; </w:t>
      </w:r>
      <w:r w:rsidRPr="001D05F4">
        <w:rPr>
          <w:i/>
          <w:iCs/>
        </w:rPr>
        <w:t>N</w:t>
      </w:r>
      <w:r w:rsidRPr="001D05F4">
        <w:t xml:space="preserve"> = 51) at 0000 UTC 15 August 2016 (120 h). Dots are colored and sized by minimum SLP (</w:t>
      </w:r>
      <w:proofErr w:type="spellStart"/>
      <w:r w:rsidRPr="001D05F4">
        <w:t>hPa</w:t>
      </w:r>
      <w:proofErr w:type="spellEnd"/>
      <w:r w:rsidRPr="001D05F4">
        <w:t xml:space="preserve">) at 0000 UTC 15 August 2016 (120 h) according to the legend. The position of AC16 for ERA5 at 0000 UTC 15 August 2016 is given by the black dot. The corresponding minimum SLP of AC16 for ERA5 is 972.8 </w:t>
      </w:r>
      <w:proofErr w:type="spellStart"/>
      <w:r w:rsidRPr="001D05F4">
        <w:t>hPa</w:t>
      </w:r>
      <w:proofErr w:type="spellEnd"/>
      <w:r w:rsidRPr="001D05F4">
        <w:t>. Black contours denote SLP (</w:t>
      </w:r>
      <w:proofErr w:type="spellStart"/>
      <w:r w:rsidRPr="001D05F4">
        <w:t>hPa</w:t>
      </w:r>
      <w:proofErr w:type="spellEnd"/>
      <w:r w:rsidRPr="001D05F4">
        <w:t>) from ERA5 at 0000 UTC 15 August 2016.</w:t>
      </w:r>
    </w:p>
    <w:p w14:paraId="6BDDEDAB" w14:textId="77777777" w:rsidR="001D05F4" w:rsidRDefault="001D05F4" w:rsidP="001D05F4">
      <w:pPr>
        <w:spacing w:before="0" w:after="0" w:line="240" w:lineRule="auto"/>
        <w:ind w:firstLine="0"/>
      </w:pPr>
    </w:p>
    <w:p w14:paraId="0238E8B4"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4. AC-centered composites for the strong low-skill ACs of 300-hPa wind speed (m s</w:t>
      </w:r>
      <w:r w:rsidRPr="001D05F4">
        <w:rPr>
          <w:rFonts w:eastAsia="MS Mincho"/>
          <w:szCs w:val="24"/>
          <w:vertAlign w:val="superscript"/>
        </w:rPr>
        <w:t>−1</w:t>
      </w:r>
      <w:r w:rsidRPr="001D05F4">
        <w:rPr>
          <w:rFonts w:eastAsia="MS Mincho"/>
          <w:szCs w:val="24"/>
        </w:rPr>
        <w:t>; shading), 1000–500-hPa thickness (dam; dashed red and blue contours), and SLP (</w:t>
      </w:r>
      <w:proofErr w:type="spellStart"/>
      <w:r w:rsidRPr="001D05F4">
        <w:rPr>
          <w:rFonts w:eastAsia="MS Mincho"/>
          <w:szCs w:val="24"/>
        </w:rPr>
        <w:t>hPa</w:t>
      </w:r>
      <w:proofErr w:type="spellEnd"/>
      <w:r w:rsidRPr="001D05F4">
        <w:rPr>
          <w:rFonts w:eastAsia="MS Mincho"/>
          <w:szCs w:val="24"/>
        </w:rPr>
        <w:t>; black contours) at (a) t</w:t>
      </w:r>
      <w:r w:rsidRPr="001D05F4">
        <w:rPr>
          <w:rFonts w:eastAsia="MS Mincho"/>
          <w:szCs w:val="24"/>
          <w:vertAlign w:val="subscript"/>
        </w:rPr>
        <w:t>low</w:t>
      </w:r>
      <w:r w:rsidRPr="001D05F4">
        <w:rPr>
          <w:rFonts w:eastAsia="MS Mincho"/>
          <w:szCs w:val="24"/>
        </w:rPr>
        <w:t>−48 h, (b) t</w:t>
      </w:r>
      <w:r w:rsidRPr="001D05F4">
        <w:rPr>
          <w:rFonts w:eastAsia="MS Mincho"/>
          <w:szCs w:val="24"/>
          <w:vertAlign w:val="subscript"/>
        </w:rPr>
        <w:t>low</w:t>
      </w:r>
      <w:r w:rsidRPr="001D05F4">
        <w:rPr>
          <w:rFonts w:eastAsia="MS Mincho"/>
          <w:szCs w:val="24"/>
        </w:rPr>
        <w:t>−36 h, (c) t</w:t>
      </w:r>
      <w:r w:rsidRPr="001D05F4">
        <w:rPr>
          <w:rFonts w:eastAsia="MS Mincho"/>
          <w:szCs w:val="24"/>
          <w:vertAlign w:val="subscript"/>
        </w:rPr>
        <w:t>low</w:t>
      </w:r>
      <w:r w:rsidRPr="001D05F4">
        <w:rPr>
          <w:rFonts w:eastAsia="MS Mincho"/>
          <w:szCs w:val="24"/>
        </w:rPr>
        <w:t>−24 h, (d) t</w:t>
      </w:r>
      <w:r w:rsidRPr="001D05F4">
        <w:rPr>
          <w:rFonts w:eastAsia="MS Mincho"/>
          <w:szCs w:val="24"/>
          <w:vertAlign w:val="subscript"/>
        </w:rPr>
        <w:t>low</w:t>
      </w:r>
      <w:r w:rsidRPr="001D05F4">
        <w:rPr>
          <w:rFonts w:eastAsia="MS Mincho"/>
          <w:szCs w:val="24"/>
        </w:rPr>
        <w:t xml:space="preserve">−12 h, (e) </w:t>
      </w:r>
      <w:proofErr w:type="spellStart"/>
      <w:r w:rsidRPr="001D05F4">
        <w:rPr>
          <w:rFonts w:eastAsia="MS Mincho"/>
          <w:szCs w:val="24"/>
        </w:rPr>
        <w:t>t</w:t>
      </w:r>
      <w:r w:rsidRPr="001D05F4">
        <w:rPr>
          <w:rFonts w:eastAsia="MS Mincho"/>
          <w:szCs w:val="24"/>
          <w:vertAlign w:val="subscript"/>
        </w:rPr>
        <w:t>low</w:t>
      </w:r>
      <w:proofErr w:type="spellEnd"/>
      <w:r w:rsidRPr="001D05F4">
        <w:rPr>
          <w:rFonts w:eastAsia="MS Mincho"/>
          <w:szCs w:val="24"/>
        </w:rPr>
        <w:t>, and (f) t</w:t>
      </w:r>
      <w:r w:rsidRPr="001D05F4">
        <w:rPr>
          <w:rFonts w:eastAsia="MS Mincho"/>
          <w:szCs w:val="24"/>
          <w:vertAlign w:val="subscript"/>
        </w:rPr>
        <w:t>low</w:t>
      </w:r>
      <w:r w:rsidRPr="001D05F4">
        <w:rPr>
          <w:rFonts w:eastAsia="MS Mincho"/>
          <w:szCs w:val="24"/>
        </w:rPr>
        <w:t>+12 h. The green dot shows the location of the composite AC.</w:t>
      </w:r>
    </w:p>
    <w:p w14:paraId="1AF3E8BB" w14:textId="77777777" w:rsidR="001D05F4" w:rsidRDefault="001D05F4" w:rsidP="001D05F4">
      <w:pPr>
        <w:spacing w:before="0" w:after="0" w:line="240" w:lineRule="auto"/>
        <w:ind w:firstLine="0"/>
      </w:pPr>
    </w:p>
    <w:p w14:paraId="6F3F8E4C"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5. AC-centered composites for the strong low-skill ACs of 850–600-hPa EGR (day</w:t>
      </w:r>
      <w:r w:rsidRPr="001D05F4">
        <w:rPr>
          <w:rFonts w:eastAsia="MS Mincho"/>
          <w:szCs w:val="24"/>
          <w:vertAlign w:val="superscript"/>
        </w:rPr>
        <w:t>−1</w:t>
      </w:r>
      <w:r w:rsidRPr="001D05F4">
        <w:rPr>
          <w:rFonts w:eastAsia="MS Mincho"/>
          <w:szCs w:val="24"/>
        </w:rPr>
        <w:t>; shading) and SLP (</w:t>
      </w:r>
      <w:proofErr w:type="spellStart"/>
      <w:r w:rsidRPr="001D05F4">
        <w:rPr>
          <w:rFonts w:eastAsia="MS Mincho"/>
          <w:szCs w:val="24"/>
        </w:rPr>
        <w:t>hPa</w:t>
      </w:r>
      <w:proofErr w:type="spellEnd"/>
      <w:r w:rsidRPr="001D05F4">
        <w:rPr>
          <w:rFonts w:eastAsia="MS Mincho"/>
          <w:szCs w:val="24"/>
        </w:rPr>
        <w:t>; black contours) at (a) t</w:t>
      </w:r>
      <w:r w:rsidRPr="001D05F4">
        <w:rPr>
          <w:rFonts w:eastAsia="MS Mincho"/>
          <w:szCs w:val="24"/>
          <w:vertAlign w:val="subscript"/>
        </w:rPr>
        <w:t>low</w:t>
      </w:r>
      <w:r w:rsidRPr="001D05F4">
        <w:rPr>
          <w:rFonts w:eastAsia="MS Mincho"/>
          <w:szCs w:val="24"/>
        </w:rPr>
        <w:t>−48 h, (b) t</w:t>
      </w:r>
      <w:r w:rsidRPr="001D05F4">
        <w:rPr>
          <w:rFonts w:eastAsia="MS Mincho"/>
          <w:szCs w:val="24"/>
          <w:vertAlign w:val="subscript"/>
        </w:rPr>
        <w:t>low</w:t>
      </w:r>
      <w:r w:rsidRPr="001D05F4">
        <w:rPr>
          <w:rFonts w:eastAsia="MS Mincho"/>
          <w:szCs w:val="24"/>
        </w:rPr>
        <w:t>−36 h, (c) t</w:t>
      </w:r>
      <w:r w:rsidRPr="001D05F4">
        <w:rPr>
          <w:rFonts w:eastAsia="MS Mincho"/>
          <w:szCs w:val="24"/>
          <w:vertAlign w:val="subscript"/>
        </w:rPr>
        <w:t>low</w:t>
      </w:r>
      <w:r w:rsidRPr="001D05F4">
        <w:rPr>
          <w:rFonts w:eastAsia="MS Mincho"/>
          <w:szCs w:val="24"/>
        </w:rPr>
        <w:t>−24 h, (d) t</w:t>
      </w:r>
      <w:r w:rsidRPr="001D05F4">
        <w:rPr>
          <w:rFonts w:eastAsia="MS Mincho"/>
          <w:szCs w:val="24"/>
          <w:vertAlign w:val="subscript"/>
        </w:rPr>
        <w:t>low</w:t>
      </w:r>
      <w:r w:rsidRPr="001D05F4">
        <w:rPr>
          <w:rFonts w:eastAsia="MS Mincho"/>
          <w:szCs w:val="24"/>
        </w:rPr>
        <w:t xml:space="preserve">−12 h, (e) </w:t>
      </w:r>
      <w:proofErr w:type="spellStart"/>
      <w:r w:rsidRPr="001D05F4">
        <w:rPr>
          <w:rFonts w:eastAsia="MS Mincho"/>
          <w:szCs w:val="24"/>
        </w:rPr>
        <w:t>t</w:t>
      </w:r>
      <w:r w:rsidRPr="001D05F4">
        <w:rPr>
          <w:rFonts w:eastAsia="MS Mincho"/>
          <w:szCs w:val="24"/>
          <w:vertAlign w:val="subscript"/>
        </w:rPr>
        <w:t>low</w:t>
      </w:r>
      <w:proofErr w:type="spellEnd"/>
      <w:r w:rsidRPr="001D05F4">
        <w:rPr>
          <w:rFonts w:eastAsia="MS Mincho"/>
          <w:szCs w:val="24"/>
        </w:rPr>
        <w:t>, and (f) t</w:t>
      </w:r>
      <w:r w:rsidRPr="001D05F4">
        <w:rPr>
          <w:rFonts w:eastAsia="MS Mincho"/>
          <w:szCs w:val="24"/>
          <w:vertAlign w:val="subscript"/>
        </w:rPr>
        <w:t>low</w:t>
      </w:r>
      <w:r w:rsidRPr="001D05F4">
        <w:rPr>
          <w:rFonts w:eastAsia="MS Mincho"/>
          <w:szCs w:val="24"/>
        </w:rPr>
        <w:t>+12 h. The cyan dot shows the location of the composite AC.</w:t>
      </w:r>
      <w:r w:rsidRPr="001D05F4">
        <w:rPr>
          <w:rFonts w:ascii="Cambria" w:eastAsia="MS Mincho" w:hAnsi="Cambria"/>
          <w:szCs w:val="24"/>
        </w:rPr>
        <w:t xml:space="preserve"> </w:t>
      </w:r>
    </w:p>
    <w:p w14:paraId="12749E79" w14:textId="77777777" w:rsidR="001D05F4" w:rsidRDefault="001D05F4" w:rsidP="001D05F4">
      <w:pPr>
        <w:spacing w:before="0" w:after="0" w:line="240" w:lineRule="auto"/>
        <w:ind w:firstLine="0"/>
      </w:pPr>
    </w:p>
    <w:p w14:paraId="444BDE69"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6. AC-centered composites for the strong low-skill ACs of 350–250-hPa divergence area averaged within 200 km of each grid point (10</w:t>
      </w:r>
      <w:r w:rsidRPr="001D05F4">
        <w:rPr>
          <w:rFonts w:eastAsia="MS Mincho"/>
          <w:szCs w:val="24"/>
          <w:vertAlign w:val="superscript"/>
        </w:rPr>
        <w:t>−6</w:t>
      </w:r>
      <w:r w:rsidRPr="001D05F4">
        <w:rPr>
          <w:rFonts w:eastAsia="MS Mincho"/>
          <w:szCs w:val="24"/>
        </w:rPr>
        <w:t xml:space="preserve"> s</w:t>
      </w:r>
      <w:r w:rsidRPr="001D05F4">
        <w:rPr>
          <w:rFonts w:eastAsia="MS Mincho"/>
          <w:szCs w:val="24"/>
          <w:vertAlign w:val="superscript"/>
        </w:rPr>
        <w:t>−1</w:t>
      </w:r>
      <w:r w:rsidRPr="001D05F4">
        <w:rPr>
          <w:rFonts w:eastAsia="MS Mincho"/>
          <w:szCs w:val="24"/>
        </w:rPr>
        <w:t>; shading), 350–250-hPa irrotational wind (m s</w:t>
      </w:r>
      <w:r w:rsidRPr="001D05F4">
        <w:rPr>
          <w:rFonts w:eastAsia="MS Mincho"/>
          <w:szCs w:val="24"/>
          <w:vertAlign w:val="superscript"/>
        </w:rPr>
        <w:t>−1</w:t>
      </w:r>
      <w:r w:rsidRPr="001D05F4">
        <w:rPr>
          <w:rFonts w:eastAsia="MS Mincho"/>
          <w:szCs w:val="24"/>
        </w:rPr>
        <w:t>; vectors), 350–250-hPa PV (PVU; dark gray contours), and 800–600-hPa ω (only negative values every 1 × 10</w:t>
      </w:r>
      <w:r w:rsidRPr="001D05F4">
        <w:rPr>
          <w:rFonts w:eastAsia="MS Mincho"/>
          <w:szCs w:val="24"/>
          <w:vertAlign w:val="superscript"/>
        </w:rPr>
        <w:t>−3</w:t>
      </w:r>
      <w:r w:rsidRPr="001D05F4">
        <w:rPr>
          <w:rFonts w:eastAsia="MS Mincho"/>
          <w:szCs w:val="24"/>
        </w:rPr>
        <w:t xml:space="preserve"> </w:t>
      </w:r>
      <w:proofErr w:type="spellStart"/>
      <w:r w:rsidRPr="001D05F4">
        <w:rPr>
          <w:rFonts w:eastAsia="MS Mincho"/>
          <w:szCs w:val="24"/>
        </w:rPr>
        <w:t>hPa</w:t>
      </w:r>
      <w:proofErr w:type="spellEnd"/>
      <w:r w:rsidRPr="001D05F4">
        <w:rPr>
          <w:rFonts w:eastAsia="MS Mincho"/>
          <w:szCs w:val="24"/>
        </w:rPr>
        <w:t xml:space="preserve"> s</w:t>
      </w:r>
      <w:r w:rsidRPr="001D05F4">
        <w:rPr>
          <w:rFonts w:eastAsia="MS Mincho"/>
          <w:szCs w:val="24"/>
          <w:vertAlign w:val="superscript"/>
        </w:rPr>
        <w:t>−1</w:t>
      </w:r>
      <w:r w:rsidRPr="001D05F4">
        <w:rPr>
          <w:rFonts w:eastAsia="MS Mincho"/>
          <w:szCs w:val="24"/>
        </w:rPr>
        <w:t xml:space="preserve"> are shown; red contours) at (a) t</w:t>
      </w:r>
      <w:r w:rsidRPr="001D05F4">
        <w:rPr>
          <w:rFonts w:eastAsia="MS Mincho"/>
          <w:szCs w:val="24"/>
          <w:vertAlign w:val="subscript"/>
        </w:rPr>
        <w:t>low</w:t>
      </w:r>
      <w:r w:rsidRPr="001D05F4">
        <w:rPr>
          <w:rFonts w:eastAsia="MS Mincho"/>
          <w:szCs w:val="24"/>
        </w:rPr>
        <w:t>−48 h, (b) t</w:t>
      </w:r>
      <w:r w:rsidRPr="001D05F4">
        <w:rPr>
          <w:rFonts w:eastAsia="MS Mincho"/>
          <w:szCs w:val="24"/>
          <w:vertAlign w:val="subscript"/>
        </w:rPr>
        <w:t>low</w:t>
      </w:r>
      <w:r w:rsidRPr="001D05F4">
        <w:rPr>
          <w:rFonts w:eastAsia="MS Mincho"/>
          <w:szCs w:val="24"/>
        </w:rPr>
        <w:t>−36 h, (c) t</w:t>
      </w:r>
      <w:r w:rsidRPr="001D05F4">
        <w:rPr>
          <w:rFonts w:eastAsia="MS Mincho"/>
          <w:szCs w:val="24"/>
          <w:vertAlign w:val="subscript"/>
        </w:rPr>
        <w:t>low</w:t>
      </w:r>
      <w:r w:rsidRPr="001D05F4">
        <w:rPr>
          <w:rFonts w:eastAsia="MS Mincho"/>
          <w:szCs w:val="24"/>
        </w:rPr>
        <w:t>−24 h, (d) t</w:t>
      </w:r>
      <w:r w:rsidRPr="001D05F4">
        <w:rPr>
          <w:rFonts w:eastAsia="MS Mincho"/>
          <w:szCs w:val="24"/>
          <w:vertAlign w:val="subscript"/>
        </w:rPr>
        <w:t>low</w:t>
      </w:r>
      <w:r w:rsidRPr="001D05F4">
        <w:rPr>
          <w:rFonts w:eastAsia="MS Mincho"/>
          <w:szCs w:val="24"/>
        </w:rPr>
        <w:t xml:space="preserve">−12 h, (e) </w:t>
      </w:r>
      <w:proofErr w:type="spellStart"/>
      <w:r w:rsidRPr="001D05F4">
        <w:rPr>
          <w:rFonts w:eastAsia="MS Mincho"/>
          <w:szCs w:val="24"/>
        </w:rPr>
        <w:t>t</w:t>
      </w:r>
      <w:r w:rsidRPr="001D05F4">
        <w:rPr>
          <w:rFonts w:eastAsia="MS Mincho"/>
          <w:szCs w:val="24"/>
          <w:vertAlign w:val="subscript"/>
        </w:rPr>
        <w:t>low</w:t>
      </w:r>
      <w:proofErr w:type="spellEnd"/>
      <w:r w:rsidRPr="001D05F4">
        <w:rPr>
          <w:rFonts w:eastAsia="MS Mincho"/>
          <w:szCs w:val="24"/>
        </w:rPr>
        <w:t>, and (f) t</w:t>
      </w:r>
      <w:r w:rsidRPr="001D05F4">
        <w:rPr>
          <w:rFonts w:eastAsia="MS Mincho"/>
          <w:szCs w:val="24"/>
          <w:vertAlign w:val="subscript"/>
        </w:rPr>
        <w:t>low</w:t>
      </w:r>
      <w:r w:rsidRPr="001D05F4">
        <w:rPr>
          <w:rFonts w:eastAsia="MS Mincho"/>
          <w:szCs w:val="24"/>
        </w:rPr>
        <w:t>+12 h. The green dot shows the location of the composite AC.</w:t>
      </w:r>
    </w:p>
    <w:p w14:paraId="53E52D30" w14:textId="77777777" w:rsidR="001D05F4" w:rsidRDefault="001D05F4" w:rsidP="001D05F4">
      <w:pPr>
        <w:spacing w:before="0" w:after="0" w:line="240" w:lineRule="auto"/>
        <w:ind w:firstLine="0"/>
      </w:pPr>
    </w:p>
    <w:p w14:paraId="78B3E305"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7. AC-centered composites for the strong low-skill ACs of 1000–300-hPa IVT (kg m</w:t>
      </w:r>
      <w:r w:rsidRPr="001D05F4">
        <w:rPr>
          <w:rFonts w:eastAsia="MS Mincho"/>
          <w:szCs w:val="24"/>
          <w:vertAlign w:val="superscript"/>
        </w:rPr>
        <w:t>−1</w:t>
      </w:r>
      <w:r w:rsidRPr="001D05F4">
        <w:rPr>
          <w:rFonts w:eastAsia="MS Mincho"/>
          <w:szCs w:val="24"/>
        </w:rPr>
        <w:t xml:space="preserve"> s</w:t>
      </w:r>
      <w:r w:rsidRPr="001D05F4">
        <w:rPr>
          <w:rFonts w:eastAsia="MS Mincho"/>
          <w:szCs w:val="24"/>
          <w:vertAlign w:val="superscript"/>
        </w:rPr>
        <w:t>−1</w:t>
      </w:r>
      <w:r w:rsidRPr="001D05F4">
        <w:rPr>
          <w:rFonts w:eastAsia="MS Mincho"/>
          <w:szCs w:val="24"/>
        </w:rPr>
        <w:t>; shading and vectors), 1000–300-hPa IMFC area averaged within 200 km of each grid point (only positive values every 100 W m</w:t>
      </w:r>
      <w:r w:rsidRPr="001D05F4">
        <w:rPr>
          <w:rFonts w:eastAsia="MS Mincho"/>
          <w:szCs w:val="24"/>
          <w:vertAlign w:val="superscript"/>
        </w:rPr>
        <w:t>−2</w:t>
      </w:r>
      <w:r w:rsidRPr="001D05F4">
        <w:rPr>
          <w:rFonts w:eastAsia="MS Mincho"/>
          <w:szCs w:val="24"/>
        </w:rPr>
        <w:t xml:space="preserve"> are shown; blue contours), and 700-hPa geopotential height (dam; black contours) at (a) t</w:t>
      </w:r>
      <w:r w:rsidRPr="001D05F4">
        <w:rPr>
          <w:rFonts w:eastAsia="MS Mincho"/>
          <w:szCs w:val="24"/>
          <w:vertAlign w:val="subscript"/>
        </w:rPr>
        <w:t>low</w:t>
      </w:r>
      <w:r w:rsidRPr="001D05F4">
        <w:rPr>
          <w:rFonts w:eastAsia="MS Mincho"/>
          <w:szCs w:val="24"/>
        </w:rPr>
        <w:t>−48 h, (b) t</w:t>
      </w:r>
      <w:r w:rsidRPr="001D05F4">
        <w:rPr>
          <w:rFonts w:eastAsia="MS Mincho"/>
          <w:szCs w:val="24"/>
          <w:vertAlign w:val="subscript"/>
        </w:rPr>
        <w:t>low</w:t>
      </w:r>
      <w:r w:rsidRPr="001D05F4">
        <w:rPr>
          <w:rFonts w:eastAsia="MS Mincho"/>
          <w:szCs w:val="24"/>
        </w:rPr>
        <w:t>−36 h, (c) t</w:t>
      </w:r>
      <w:r w:rsidRPr="001D05F4">
        <w:rPr>
          <w:rFonts w:eastAsia="MS Mincho"/>
          <w:szCs w:val="24"/>
          <w:vertAlign w:val="subscript"/>
        </w:rPr>
        <w:t>low</w:t>
      </w:r>
      <w:r w:rsidRPr="001D05F4">
        <w:rPr>
          <w:rFonts w:eastAsia="MS Mincho"/>
          <w:szCs w:val="24"/>
        </w:rPr>
        <w:t>−24 h, (d) t</w:t>
      </w:r>
      <w:r w:rsidRPr="001D05F4">
        <w:rPr>
          <w:rFonts w:eastAsia="MS Mincho"/>
          <w:szCs w:val="24"/>
          <w:vertAlign w:val="subscript"/>
        </w:rPr>
        <w:t>low</w:t>
      </w:r>
      <w:r w:rsidRPr="001D05F4">
        <w:rPr>
          <w:rFonts w:eastAsia="MS Mincho"/>
          <w:szCs w:val="24"/>
        </w:rPr>
        <w:t xml:space="preserve">−12 h, (e) </w:t>
      </w:r>
      <w:proofErr w:type="spellStart"/>
      <w:r w:rsidRPr="001D05F4">
        <w:rPr>
          <w:rFonts w:eastAsia="MS Mincho"/>
          <w:szCs w:val="24"/>
        </w:rPr>
        <w:t>t</w:t>
      </w:r>
      <w:r w:rsidRPr="001D05F4">
        <w:rPr>
          <w:rFonts w:eastAsia="MS Mincho"/>
          <w:szCs w:val="24"/>
          <w:vertAlign w:val="subscript"/>
        </w:rPr>
        <w:t>low</w:t>
      </w:r>
      <w:proofErr w:type="spellEnd"/>
      <w:r w:rsidRPr="001D05F4">
        <w:rPr>
          <w:rFonts w:eastAsia="MS Mincho"/>
          <w:szCs w:val="24"/>
        </w:rPr>
        <w:t>, and (f) t</w:t>
      </w:r>
      <w:r w:rsidRPr="001D05F4">
        <w:rPr>
          <w:rFonts w:eastAsia="MS Mincho"/>
          <w:szCs w:val="24"/>
          <w:vertAlign w:val="subscript"/>
        </w:rPr>
        <w:t>low</w:t>
      </w:r>
      <w:r w:rsidRPr="001D05F4">
        <w:rPr>
          <w:rFonts w:eastAsia="MS Mincho"/>
          <w:szCs w:val="24"/>
        </w:rPr>
        <w:t>+12 h. The cyan dot shows the location of the composite AC.</w:t>
      </w:r>
    </w:p>
    <w:p w14:paraId="3A4C761B" w14:textId="77777777" w:rsidR="001D05F4" w:rsidRDefault="001D05F4" w:rsidP="001D05F4">
      <w:pPr>
        <w:spacing w:before="0" w:after="0" w:line="240" w:lineRule="auto"/>
        <w:ind w:firstLine="0"/>
      </w:pPr>
    </w:p>
    <w:p w14:paraId="5CB0B9FF"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t xml:space="preserve">Fig. 8. ERA5 analyses of </w:t>
      </w:r>
      <w:r w:rsidRPr="001D05F4">
        <w:rPr>
          <w:rFonts w:eastAsia="MS Mincho"/>
          <w:szCs w:val="24"/>
        </w:rPr>
        <w:t>300-hPa wind speed (m s</w:t>
      </w:r>
      <w:r w:rsidRPr="001D05F4">
        <w:rPr>
          <w:rFonts w:eastAsia="MS Mincho"/>
          <w:szCs w:val="24"/>
          <w:vertAlign w:val="superscript"/>
        </w:rPr>
        <w:t>−1</w:t>
      </w:r>
      <w:r w:rsidRPr="001D05F4">
        <w:rPr>
          <w:rFonts w:eastAsia="MS Mincho"/>
          <w:szCs w:val="24"/>
        </w:rPr>
        <w:t>; shading), 1000–500-hPa thickness (dam; dashed red and blue contours), and SLP (</w:t>
      </w:r>
      <w:proofErr w:type="spellStart"/>
      <w:r w:rsidRPr="001D05F4">
        <w:rPr>
          <w:rFonts w:eastAsia="MS Mincho"/>
          <w:szCs w:val="24"/>
        </w:rPr>
        <w:t>hPa</w:t>
      </w:r>
      <w:proofErr w:type="spellEnd"/>
      <w:r w:rsidRPr="001D05F4">
        <w:rPr>
          <w:rFonts w:eastAsia="MS Mincho"/>
          <w:szCs w:val="24"/>
        </w:rPr>
        <w:t>; black contours) for AC16 at (a) 0000 UTC 14 August (t</w:t>
      </w:r>
      <w:r w:rsidRPr="001D05F4">
        <w:rPr>
          <w:rFonts w:eastAsia="MS Mincho"/>
          <w:szCs w:val="24"/>
          <w:vertAlign w:val="subscript"/>
        </w:rPr>
        <w:t>low</w:t>
      </w:r>
      <w:r w:rsidRPr="001D05F4">
        <w:rPr>
          <w:rFonts w:eastAsia="MS Mincho"/>
          <w:szCs w:val="24"/>
        </w:rPr>
        <w:t>−48 h), (b) 1200 UTC 14 August (t</w:t>
      </w:r>
      <w:r w:rsidRPr="001D05F4">
        <w:rPr>
          <w:rFonts w:eastAsia="MS Mincho"/>
          <w:szCs w:val="24"/>
          <w:vertAlign w:val="subscript"/>
        </w:rPr>
        <w:t>low</w:t>
      </w:r>
      <w:r w:rsidRPr="001D05F4">
        <w:rPr>
          <w:rFonts w:eastAsia="MS Mincho"/>
          <w:szCs w:val="24"/>
        </w:rPr>
        <w:t>−36 h), (c) 0000 UTC 15 August (t</w:t>
      </w:r>
      <w:r w:rsidRPr="001D05F4">
        <w:rPr>
          <w:rFonts w:eastAsia="MS Mincho"/>
          <w:szCs w:val="24"/>
          <w:vertAlign w:val="subscript"/>
        </w:rPr>
        <w:t>low</w:t>
      </w:r>
      <w:r w:rsidRPr="001D05F4">
        <w:rPr>
          <w:rFonts w:eastAsia="MS Mincho"/>
          <w:szCs w:val="24"/>
        </w:rPr>
        <w:t>−24 h), (d) 1200 UTC 15 August (t</w:t>
      </w:r>
      <w:r w:rsidRPr="001D05F4">
        <w:rPr>
          <w:rFonts w:eastAsia="MS Mincho"/>
          <w:szCs w:val="24"/>
          <w:vertAlign w:val="subscript"/>
        </w:rPr>
        <w:t>low</w:t>
      </w:r>
      <w:r w:rsidRPr="001D05F4">
        <w:rPr>
          <w:rFonts w:eastAsia="MS Mincho"/>
          <w:szCs w:val="24"/>
        </w:rPr>
        <w:t>−12 h), (e) 0000 UTC 16 August (</w:t>
      </w:r>
      <w:proofErr w:type="spellStart"/>
      <w:r w:rsidRPr="001D05F4">
        <w:rPr>
          <w:rFonts w:eastAsia="MS Mincho"/>
          <w:szCs w:val="24"/>
        </w:rPr>
        <w:t>t</w:t>
      </w:r>
      <w:r w:rsidRPr="001D05F4">
        <w:rPr>
          <w:rFonts w:eastAsia="MS Mincho"/>
          <w:szCs w:val="24"/>
          <w:vertAlign w:val="subscript"/>
        </w:rPr>
        <w:t>low</w:t>
      </w:r>
      <w:proofErr w:type="spellEnd"/>
      <w:r w:rsidRPr="001D05F4">
        <w:rPr>
          <w:rFonts w:eastAsia="MS Mincho"/>
          <w:szCs w:val="24"/>
        </w:rPr>
        <w:t>), and (f) 1200 UTC 16 August 2016 (t</w:t>
      </w:r>
      <w:r w:rsidRPr="001D05F4">
        <w:rPr>
          <w:rFonts w:eastAsia="MS Mincho"/>
          <w:szCs w:val="24"/>
          <w:vertAlign w:val="subscript"/>
        </w:rPr>
        <w:t>low</w:t>
      </w:r>
      <w:r w:rsidRPr="001D05F4">
        <w:rPr>
          <w:rFonts w:eastAsia="MS Mincho"/>
          <w:szCs w:val="24"/>
        </w:rPr>
        <w:t>+12 h).</w:t>
      </w:r>
      <w:r w:rsidRPr="001D05F4">
        <w:t xml:space="preserve"> The green dot shows the location of AC16.</w:t>
      </w:r>
    </w:p>
    <w:p w14:paraId="3B200FC5" w14:textId="77777777" w:rsidR="001D05F4" w:rsidRDefault="001D05F4" w:rsidP="001D05F4">
      <w:pPr>
        <w:spacing w:before="0" w:after="0" w:line="240" w:lineRule="auto"/>
        <w:ind w:firstLine="0"/>
      </w:pPr>
    </w:p>
    <w:p w14:paraId="5D316B95"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t xml:space="preserve">Fig. 9. ERA5 analyses of </w:t>
      </w:r>
      <w:r w:rsidRPr="001D05F4">
        <w:rPr>
          <w:rFonts w:eastAsia="MS Mincho"/>
          <w:szCs w:val="24"/>
        </w:rPr>
        <w:t>850–600-hPa EGR (day</w:t>
      </w:r>
      <w:r w:rsidRPr="001D05F4">
        <w:rPr>
          <w:rFonts w:eastAsia="MS Mincho"/>
          <w:szCs w:val="24"/>
          <w:vertAlign w:val="superscript"/>
        </w:rPr>
        <w:t>−1</w:t>
      </w:r>
      <w:r w:rsidRPr="001D05F4">
        <w:rPr>
          <w:rFonts w:eastAsia="MS Mincho"/>
          <w:szCs w:val="24"/>
        </w:rPr>
        <w:t>; shading) and SLP (</w:t>
      </w:r>
      <w:proofErr w:type="spellStart"/>
      <w:r w:rsidRPr="001D05F4">
        <w:rPr>
          <w:rFonts w:eastAsia="MS Mincho"/>
          <w:szCs w:val="24"/>
        </w:rPr>
        <w:t>hPa</w:t>
      </w:r>
      <w:proofErr w:type="spellEnd"/>
      <w:r w:rsidRPr="001D05F4">
        <w:rPr>
          <w:rFonts w:eastAsia="MS Mincho"/>
          <w:szCs w:val="24"/>
        </w:rPr>
        <w:t>; black contours) for AC16 at (a) 0000 UTC 14 August (t</w:t>
      </w:r>
      <w:r w:rsidRPr="001D05F4">
        <w:rPr>
          <w:rFonts w:eastAsia="MS Mincho"/>
          <w:szCs w:val="24"/>
          <w:vertAlign w:val="subscript"/>
        </w:rPr>
        <w:t>low</w:t>
      </w:r>
      <w:r w:rsidRPr="001D05F4">
        <w:rPr>
          <w:rFonts w:eastAsia="MS Mincho"/>
          <w:szCs w:val="24"/>
        </w:rPr>
        <w:t>−48 h), (b) 1200 UTC 14 August (t</w:t>
      </w:r>
      <w:r w:rsidRPr="001D05F4">
        <w:rPr>
          <w:rFonts w:eastAsia="MS Mincho"/>
          <w:szCs w:val="24"/>
          <w:vertAlign w:val="subscript"/>
        </w:rPr>
        <w:t>low</w:t>
      </w:r>
      <w:r w:rsidRPr="001D05F4">
        <w:rPr>
          <w:rFonts w:eastAsia="MS Mincho"/>
          <w:szCs w:val="24"/>
        </w:rPr>
        <w:t xml:space="preserve">−36 h), (c) </w:t>
      </w:r>
      <w:r w:rsidRPr="001D05F4">
        <w:rPr>
          <w:rFonts w:eastAsia="MS Mincho"/>
          <w:szCs w:val="24"/>
        </w:rPr>
        <w:lastRenderedPageBreak/>
        <w:t>0000 UTC 15 August (t</w:t>
      </w:r>
      <w:r w:rsidRPr="001D05F4">
        <w:rPr>
          <w:rFonts w:eastAsia="MS Mincho"/>
          <w:szCs w:val="24"/>
          <w:vertAlign w:val="subscript"/>
        </w:rPr>
        <w:t>low</w:t>
      </w:r>
      <w:r w:rsidRPr="001D05F4">
        <w:rPr>
          <w:rFonts w:eastAsia="MS Mincho"/>
          <w:szCs w:val="24"/>
        </w:rPr>
        <w:t>−24 h), (d) 1200 UTC 15 August (t</w:t>
      </w:r>
      <w:r w:rsidRPr="001D05F4">
        <w:rPr>
          <w:rFonts w:eastAsia="MS Mincho"/>
          <w:szCs w:val="24"/>
          <w:vertAlign w:val="subscript"/>
        </w:rPr>
        <w:t>low</w:t>
      </w:r>
      <w:r w:rsidRPr="001D05F4">
        <w:rPr>
          <w:rFonts w:eastAsia="MS Mincho"/>
          <w:szCs w:val="24"/>
        </w:rPr>
        <w:t>−12 h), (e) 0000 UTC 16 August (</w:t>
      </w:r>
      <w:proofErr w:type="spellStart"/>
      <w:r w:rsidRPr="001D05F4">
        <w:rPr>
          <w:rFonts w:eastAsia="MS Mincho"/>
          <w:szCs w:val="24"/>
        </w:rPr>
        <w:t>t</w:t>
      </w:r>
      <w:r w:rsidRPr="001D05F4">
        <w:rPr>
          <w:rFonts w:eastAsia="MS Mincho"/>
          <w:szCs w:val="24"/>
          <w:vertAlign w:val="subscript"/>
        </w:rPr>
        <w:t>low</w:t>
      </w:r>
      <w:proofErr w:type="spellEnd"/>
      <w:r w:rsidRPr="001D05F4">
        <w:rPr>
          <w:rFonts w:eastAsia="MS Mincho"/>
          <w:szCs w:val="24"/>
        </w:rPr>
        <w:t>), and (f) 1200 UTC 16 August 2016 (t</w:t>
      </w:r>
      <w:r w:rsidRPr="001D05F4">
        <w:rPr>
          <w:rFonts w:eastAsia="MS Mincho"/>
          <w:szCs w:val="24"/>
          <w:vertAlign w:val="subscript"/>
        </w:rPr>
        <w:t>low</w:t>
      </w:r>
      <w:r w:rsidRPr="001D05F4">
        <w:rPr>
          <w:rFonts w:eastAsia="MS Mincho"/>
          <w:szCs w:val="24"/>
        </w:rPr>
        <w:t>+12 h).</w:t>
      </w:r>
      <w:r w:rsidRPr="001D05F4">
        <w:t xml:space="preserve"> The cyan dot shows the location of AC16.</w:t>
      </w:r>
    </w:p>
    <w:p w14:paraId="1FF01592" w14:textId="77777777" w:rsidR="001D05F4" w:rsidRDefault="001D05F4" w:rsidP="001D05F4">
      <w:pPr>
        <w:spacing w:before="0" w:after="0" w:line="240" w:lineRule="auto"/>
        <w:ind w:firstLine="0"/>
      </w:pPr>
    </w:p>
    <w:p w14:paraId="4B771C89" w14:textId="77777777" w:rsidR="001D05F4" w:rsidRPr="001D05F4" w:rsidRDefault="001D05F4" w:rsidP="001D05F4">
      <w:pPr>
        <w:tabs>
          <w:tab w:val="left" w:pos="1993"/>
        </w:tabs>
        <w:spacing w:before="0" w:after="0" w:line="240" w:lineRule="auto"/>
        <w:ind w:firstLine="0"/>
      </w:pPr>
      <w:r w:rsidRPr="001D05F4">
        <w:t>Fig. 10. ERA5 analyses of</w:t>
      </w:r>
      <w:r w:rsidRPr="001D05F4">
        <w:rPr>
          <w:rFonts w:eastAsia="MS Mincho"/>
          <w:szCs w:val="24"/>
        </w:rPr>
        <w:t xml:space="preserve"> 350–250-hPa divergence area averaged within 200 km of each grid point (10</w:t>
      </w:r>
      <w:r w:rsidRPr="001D05F4">
        <w:rPr>
          <w:rFonts w:eastAsia="MS Mincho"/>
          <w:szCs w:val="24"/>
          <w:vertAlign w:val="superscript"/>
        </w:rPr>
        <w:t>−6</w:t>
      </w:r>
      <w:r w:rsidRPr="001D05F4">
        <w:rPr>
          <w:rFonts w:eastAsia="MS Mincho"/>
          <w:szCs w:val="24"/>
        </w:rPr>
        <w:t xml:space="preserve"> s</w:t>
      </w:r>
      <w:r w:rsidRPr="001D05F4">
        <w:rPr>
          <w:rFonts w:eastAsia="MS Mincho"/>
          <w:szCs w:val="24"/>
          <w:vertAlign w:val="superscript"/>
        </w:rPr>
        <w:t>−1</w:t>
      </w:r>
      <w:r w:rsidRPr="001D05F4">
        <w:rPr>
          <w:rFonts w:eastAsia="MS Mincho"/>
          <w:szCs w:val="24"/>
        </w:rPr>
        <w:t>; shading), 350–250-hPa irrotational wind (m s</w:t>
      </w:r>
      <w:r w:rsidRPr="001D05F4">
        <w:rPr>
          <w:rFonts w:eastAsia="MS Mincho"/>
          <w:szCs w:val="24"/>
          <w:vertAlign w:val="superscript"/>
        </w:rPr>
        <w:t>−1</w:t>
      </w:r>
      <w:r w:rsidRPr="001D05F4">
        <w:rPr>
          <w:rFonts w:eastAsia="MS Mincho"/>
          <w:szCs w:val="24"/>
        </w:rPr>
        <w:t>; vectors), 350–250-hPa PV (PVU; dark gray contours), and 800–600-hPa ω (only negative values every 2 × 10</w:t>
      </w:r>
      <w:r w:rsidRPr="001D05F4">
        <w:rPr>
          <w:rFonts w:eastAsia="MS Mincho"/>
          <w:szCs w:val="24"/>
          <w:vertAlign w:val="superscript"/>
        </w:rPr>
        <w:t>−3</w:t>
      </w:r>
      <w:r w:rsidRPr="001D05F4">
        <w:rPr>
          <w:rFonts w:eastAsia="MS Mincho"/>
          <w:szCs w:val="24"/>
        </w:rPr>
        <w:t xml:space="preserve"> </w:t>
      </w:r>
      <w:proofErr w:type="spellStart"/>
      <w:r w:rsidRPr="001D05F4">
        <w:rPr>
          <w:rFonts w:eastAsia="MS Mincho"/>
          <w:szCs w:val="24"/>
        </w:rPr>
        <w:t>hPa</w:t>
      </w:r>
      <w:proofErr w:type="spellEnd"/>
      <w:r w:rsidRPr="001D05F4">
        <w:rPr>
          <w:rFonts w:eastAsia="MS Mincho"/>
          <w:szCs w:val="24"/>
        </w:rPr>
        <w:t xml:space="preserve"> s</w:t>
      </w:r>
      <w:r w:rsidRPr="001D05F4">
        <w:rPr>
          <w:rFonts w:eastAsia="MS Mincho"/>
          <w:szCs w:val="24"/>
          <w:vertAlign w:val="superscript"/>
        </w:rPr>
        <w:t>−1</w:t>
      </w:r>
      <w:r w:rsidRPr="001D05F4">
        <w:rPr>
          <w:rFonts w:eastAsia="MS Mincho"/>
          <w:szCs w:val="24"/>
        </w:rPr>
        <w:t xml:space="preserve"> are shown; red contours) for AC16 at (a) 0000 UTC 14 August (t</w:t>
      </w:r>
      <w:r w:rsidRPr="001D05F4">
        <w:rPr>
          <w:rFonts w:eastAsia="MS Mincho"/>
          <w:szCs w:val="24"/>
          <w:vertAlign w:val="subscript"/>
        </w:rPr>
        <w:t>low</w:t>
      </w:r>
      <w:r w:rsidRPr="001D05F4">
        <w:rPr>
          <w:rFonts w:eastAsia="MS Mincho"/>
          <w:szCs w:val="24"/>
        </w:rPr>
        <w:t>−48 h), (b) 1200 UTC 14 August (t</w:t>
      </w:r>
      <w:r w:rsidRPr="001D05F4">
        <w:rPr>
          <w:rFonts w:eastAsia="MS Mincho"/>
          <w:szCs w:val="24"/>
          <w:vertAlign w:val="subscript"/>
        </w:rPr>
        <w:t>low</w:t>
      </w:r>
      <w:r w:rsidRPr="001D05F4">
        <w:rPr>
          <w:rFonts w:eastAsia="MS Mincho"/>
          <w:szCs w:val="24"/>
        </w:rPr>
        <w:t>−36 h), (c) 0000 UTC 15 August (t</w:t>
      </w:r>
      <w:r w:rsidRPr="001D05F4">
        <w:rPr>
          <w:rFonts w:eastAsia="MS Mincho"/>
          <w:szCs w:val="24"/>
          <w:vertAlign w:val="subscript"/>
        </w:rPr>
        <w:t>low</w:t>
      </w:r>
      <w:r w:rsidRPr="001D05F4">
        <w:rPr>
          <w:rFonts w:eastAsia="MS Mincho"/>
          <w:szCs w:val="24"/>
        </w:rPr>
        <w:t>−24 h), (d) 1200 UTC 15 August (t</w:t>
      </w:r>
      <w:r w:rsidRPr="001D05F4">
        <w:rPr>
          <w:rFonts w:eastAsia="MS Mincho"/>
          <w:szCs w:val="24"/>
          <w:vertAlign w:val="subscript"/>
        </w:rPr>
        <w:t>low</w:t>
      </w:r>
      <w:r w:rsidRPr="001D05F4">
        <w:rPr>
          <w:rFonts w:eastAsia="MS Mincho"/>
          <w:szCs w:val="24"/>
        </w:rPr>
        <w:t>−12 h), (e) 0000 UTC 16 August (</w:t>
      </w:r>
      <w:proofErr w:type="spellStart"/>
      <w:r w:rsidRPr="001D05F4">
        <w:rPr>
          <w:rFonts w:eastAsia="MS Mincho"/>
          <w:szCs w:val="24"/>
        </w:rPr>
        <w:t>t</w:t>
      </w:r>
      <w:r w:rsidRPr="001D05F4">
        <w:rPr>
          <w:rFonts w:eastAsia="MS Mincho"/>
          <w:szCs w:val="24"/>
          <w:vertAlign w:val="subscript"/>
        </w:rPr>
        <w:t>low</w:t>
      </w:r>
      <w:proofErr w:type="spellEnd"/>
      <w:r w:rsidRPr="001D05F4">
        <w:rPr>
          <w:rFonts w:eastAsia="MS Mincho"/>
          <w:szCs w:val="24"/>
        </w:rPr>
        <w:t>), and (f) 1200 UTC 16 August 2016 (t</w:t>
      </w:r>
      <w:r w:rsidRPr="001D05F4">
        <w:rPr>
          <w:rFonts w:eastAsia="MS Mincho"/>
          <w:szCs w:val="24"/>
          <w:vertAlign w:val="subscript"/>
        </w:rPr>
        <w:t>low</w:t>
      </w:r>
      <w:r w:rsidRPr="001D05F4">
        <w:rPr>
          <w:rFonts w:eastAsia="MS Mincho"/>
          <w:szCs w:val="24"/>
        </w:rPr>
        <w:t>+12 h).</w:t>
      </w:r>
      <w:r w:rsidRPr="001D05F4">
        <w:t xml:space="preserve"> The green dot shows the location of AC16.</w:t>
      </w:r>
    </w:p>
    <w:p w14:paraId="74FC7DEE" w14:textId="77777777" w:rsidR="001D05F4" w:rsidRDefault="001D05F4" w:rsidP="001D05F4">
      <w:pPr>
        <w:spacing w:before="0" w:after="0" w:line="240" w:lineRule="auto"/>
        <w:ind w:firstLine="0"/>
      </w:pPr>
    </w:p>
    <w:p w14:paraId="7FF556E0"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t xml:space="preserve">Fig. 11. ERA5 analyses of </w:t>
      </w:r>
      <w:r w:rsidRPr="001D05F4">
        <w:rPr>
          <w:rFonts w:eastAsia="MS Mincho"/>
          <w:szCs w:val="24"/>
        </w:rPr>
        <w:t>1000–300-hPa IVT (kg m</w:t>
      </w:r>
      <w:r w:rsidRPr="001D05F4">
        <w:rPr>
          <w:rFonts w:eastAsia="MS Mincho"/>
          <w:szCs w:val="24"/>
          <w:vertAlign w:val="superscript"/>
        </w:rPr>
        <w:t>−1</w:t>
      </w:r>
      <w:r w:rsidRPr="001D05F4">
        <w:rPr>
          <w:rFonts w:eastAsia="MS Mincho"/>
          <w:szCs w:val="24"/>
        </w:rPr>
        <w:t xml:space="preserve"> s</w:t>
      </w:r>
      <w:r w:rsidRPr="001D05F4">
        <w:rPr>
          <w:rFonts w:eastAsia="MS Mincho"/>
          <w:szCs w:val="24"/>
          <w:vertAlign w:val="superscript"/>
        </w:rPr>
        <w:t>−1</w:t>
      </w:r>
      <w:r w:rsidRPr="001D05F4">
        <w:rPr>
          <w:rFonts w:eastAsia="MS Mincho"/>
          <w:szCs w:val="24"/>
        </w:rPr>
        <w:t>; shading and vectors), 1000–300-hPa IMFC area averaged within 200 km of each grid point (only positive values every 250 W m</w:t>
      </w:r>
      <w:r w:rsidRPr="001D05F4">
        <w:rPr>
          <w:rFonts w:eastAsia="MS Mincho"/>
          <w:szCs w:val="24"/>
          <w:vertAlign w:val="superscript"/>
        </w:rPr>
        <w:t>−2</w:t>
      </w:r>
      <w:r w:rsidRPr="001D05F4">
        <w:rPr>
          <w:rFonts w:eastAsia="MS Mincho"/>
          <w:szCs w:val="24"/>
        </w:rPr>
        <w:t xml:space="preserve"> are shown; blue contours), and 700-hPa geopotential height (dam; black contours) for AC16 at (a) 0000 UTC 14 August (t</w:t>
      </w:r>
      <w:r w:rsidRPr="001D05F4">
        <w:rPr>
          <w:rFonts w:eastAsia="MS Mincho"/>
          <w:szCs w:val="24"/>
          <w:vertAlign w:val="subscript"/>
        </w:rPr>
        <w:t>low</w:t>
      </w:r>
      <w:r w:rsidRPr="001D05F4">
        <w:rPr>
          <w:rFonts w:eastAsia="MS Mincho"/>
          <w:szCs w:val="24"/>
        </w:rPr>
        <w:t>−48 h), (b) 1200 UTC 14 August (t</w:t>
      </w:r>
      <w:r w:rsidRPr="001D05F4">
        <w:rPr>
          <w:rFonts w:eastAsia="MS Mincho"/>
          <w:szCs w:val="24"/>
          <w:vertAlign w:val="subscript"/>
        </w:rPr>
        <w:t>low</w:t>
      </w:r>
      <w:r w:rsidRPr="001D05F4">
        <w:rPr>
          <w:rFonts w:eastAsia="MS Mincho"/>
          <w:szCs w:val="24"/>
        </w:rPr>
        <w:t>−36 h), (c) 0000 UTC 15 August (t</w:t>
      </w:r>
      <w:r w:rsidRPr="001D05F4">
        <w:rPr>
          <w:rFonts w:eastAsia="MS Mincho"/>
          <w:szCs w:val="24"/>
          <w:vertAlign w:val="subscript"/>
        </w:rPr>
        <w:t>low</w:t>
      </w:r>
      <w:r w:rsidRPr="001D05F4">
        <w:rPr>
          <w:rFonts w:eastAsia="MS Mincho"/>
          <w:szCs w:val="24"/>
        </w:rPr>
        <w:t>−24 h), (d) 1200 UTC 15 August (t</w:t>
      </w:r>
      <w:r w:rsidRPr="001D05F4">
        <w:rPr>
          <w:rFonts w:eastAsia="MS Mincho"/>
          <w:szCs w:val="24"/>
          <w:vertAlign w:val="subscript"/>
        </w:rPr>
        <w:t>low</w:t>
      </w:r>
      <w:r w:rsidRPr="001D05F4">
        <w:rPr>
          <w:rFonts w:eastAsia="MS Mincho"/>
          <w:szCs w:val="24"/>
        </w:rPr>
        <w:t>−12 h), (e) 0000 UTC 16 August (</w:t>
      </w:r>
      <w:proofErr w:type="spellStart"/>
      <w:r w:rsidRPr="001D05F4">
        <w:rPr>
          <w:rFonts w:eastAsia="MS Mincho"/>
          <w:szCs w:val="24"/>
        </w:rPr>
        <w:t>t</w:t>
      </w:r>
      <w:r w:rsidRPr="001D05F4">
        <w:rPr>
          <w:rFonts w:eastAsia="MS Mincho"/>
          <w:szCs w:val="24"/>
          <w:vertAlign w:val="subscript"/>
        </w:rPr>
        <w:t>low</w:t>
      </w:r>
      <w:proofErr w:type="spellEnd"/>
      <w:r w:rsidRPr="001D05F4">
        <w:rPr>
          <w:rFonts w:eastAsia="MS Mincho"/>
          <w:szCs w:val="24"/>
        </w:rPr>
        <w:t>), and (f) 1200 UTC 16 August 2016 (t</w:t>
      </w:r>
      <w:r w:rsidRPr="001D05F4">
        <w:rPr>
          <w:rFonts w:eastAsia="MS Mincho"/>
          <w:szCs w:val="24"/>
          <w:vertAlign w:val="subscript"/>
        </w:rPr>
        <w:t>low</w:t>
      </w:r>
      <w:r w:rsidRPr="001D05F4">
        <w:rPr>
          <w:rFonts w:eastAsia="MS Mincho"/>
          <w:szCs w:val="24"/>
        </w:rPr>
        <w:t xml:space="preserve">+12 h). </w:t>
      </w:r>
      <w:r w:rsidRPr="001D05F4">
        <w:t>The cyan dot shows the location of AC16.</w:t>
      </w:r>
    </w:p>
    <w:p w14:paraId="719ED306" w14:textId="77777777" w:rsidR="001D05F4" w:rsidRDefault="001D05F4" w:rsidP="001D05F4">
      <w:pPr>
        <w:spacing w:before="0" w:after="0" w:line="240" w:lineRule="auto"/>
        <w:ind w:firstLine="0"/>
      </w:pPr>
    </w:p>
    <w:p w14:paraId="01F385AB" w14:textId="77777777" w:rsidR="001D05F4" w:rsidRDefault="001D05F4" w:rsidP="001D05F4">
      <w:pPr>
        <w:tabs>
          <w:tab w:val="left" w:pos="1993"/>
        </w:tabs>
        <w:spacing w:before="0" w:after="0" w:line="240" w:lineRule="auto"/>
        <w:ind w:firstLine="0"/>
      </w:pPr>
      <w:r w:rsidRPr="001D05F4">
        <w:t xml:space="preserve">Fig. 12. Sensitivity of </w:t>
      </w:r>
      <w:r w:rsidRPr="001D05F4">
        <w:rPr>
          <w:i/>
          <w:iCs/>
        </w:rPr>
        <w:t>J</w:t>
      </w:r>
      <w:r w:rsidRPr="001D05F4">
        <w:rPr>
          <w:i/>
          <w:iCs/>
          <w:vertAlign w:val="subscript"/>
        </w:rPr>
        <w:t>AC</w:t>
      </w:r>
      <w:r w:rsidRPr="001D05F4">
        <w:t xml:space="preserve"> to 250-hPa PV area averaged within 200 km of each grid point (</w:t>
      </w:r>
      <w:proofErr w:type="spellStart"/>
      <w:r w:rsidRPr="001D05F4">
        <w:t>hPa</w:t>
      </w:r>
      <w:proofErr w:type="spellEnd"/>
      <w:r w:rsidRPr="001D05F4">
        <w:t xml:space="preserve">; shading) and ensemble mean 250-hPa PV area averaged within 200 km of each grid point (PVU; dark gray contours) </w:t>
      </w:r>
      <w:r w:rsidRPr="001D05F4">
        <w:rPr>
          <w:rFonts w:eastAsia="MS Mincho"/>
          <w:szCs w:val="24"/>
        </w:rPr>
        <w:t xml:space="preserve">for AC16 </w:t>
      </w:r>
      <w:r w:rsidRPr="001D05F4">
        <w:t xml:space="preserve">at (a) 0000 UTC 10 August (0 h), (b) 1200 UTC 10 August (12 h), (c) 0000 UTC 11 August (24 h), and (d) 1200 UTC 11 August 2016 (36 h). Regions of white stippling enclosed by white contours indicate where sensitivity is statistically significant at the 95% confidence level. Black dot indicates ERA5 position of AC16 at 0000 UTC 15 August 2016. Labels “R1” and “T1” indicate the positions of these respective features, which are defined in the text. Positive values of sensitivity given by warm colors indicate that increasing 250-hPa PV area averaged within 200 km of each grid point is associated with a decrease in </w:t>
      </w:r>
      <w:r w:rsidRPr="001D05F4">
        <w:rPr>
          <w:i/>
          <w:iCs/>
        </w:rPr>
        <w:t>J</w:t>
      </w:r>
      <w:r w:rsidRPr="001D05F4">
        <w:rPr>
          <w:i/>
          <w:iCs/>
          <w:vertAlign w:val="subscript"/>
        </w:rPr>
        <w:t>AC</w:t>
      </w:r>
      <w:r w:rsidRPr="001D05F4">
        <w:t xml:space="preserve"> and thus associated with a more accurate intensity forecast of AC16. Negative values of sensitivity given by cool colors indicate that decreasing 250-hPa PV area averaged within 200 km of each grid point is associated with a decrease in </w:t>
      </w:r>
      <w:r w:rsidRPr="001D05F4">
        <w:rPr>
          <w:i/>
          <w:iCs/>
        </w:rPr>
        <w:t>J</w:t>
      </w:r>
      <w:r w:rsidRPr="001D05F4">
        <w:rPr>
          <w:i/>
          <w:iCs/>
          <w:vertAlign w:val="subscript"/>
        </w:rPr>
        <w:t>AC</w:t>
      </w:r>
      <w:r w:rsidRPr="001D05F4">
        <w:t xml:space="preserve"> and thus associated with a more accurate intensity prediction of AC16.</w:t>
      </w:r>
    </w:p>
    <w:p w14:paraId="22228CB8" w14:textId="77777777" w:rsidR="001D05F4" w:rsidRDefault="001D05F4" w:rsidP="001D05F4">
      <w:pPr>
        <w:tabs>
          <w:tab w:val="left" w:pos="1993"/>
        </w:tabs>
        <w:spacing w:before="0" w:after="0" w:line="240" w:lineRule="auto"/>
        <w:ind w:firstLine="0"/>
      </w:pPr>
    </w:p>
    <w:p w14:paraId="3C10A8CE" w14:textId="768BE672" w:rsidR="001D05F4" w:rsidRDefault="001D05F4" w:rsidP="001D05F4">
      <w:pPr>
        <w:tabs>
          <w:tab w:val="left" w:pos="1993"/>
        </w:tabs>
        <w:spacing w:before="0" w:after="0" w:line="240" w:lineRule="auto"/>
        <w:ind w:firstLine="0"/>
      </w:pPr>
      <w:r w:rsidRPr="001D05F4">
        <w:t>Fig. 13. As in Fig. 12, but at (a) 0000 UTC 12 August (48 h), (b) 1200 UTC 12 August (60 h),</w:t>
      </w:r>
      <w:r>
        <w:t xml:space="preserve"> </w:t>
      </w:r>
      <w:r w:rsidRPr="001D05F4">
        <w:t>(c) 0000 UTC 13 August (72 h), (d) 1200 UTC 13 August (84 h), (e) 0000 UTC 14 August (96h), and (f) 1200 UTC 14 August 2016 (108 h). Labels “R1”, “R2”, and “T1” indicate the positions of these respective features, which are defined in the text.</w:t>
      </w:r>
    </w:p>
    <w:p w14:paraId="62169D67" w14:textId="77777777" w:rsidR="001D05F4" w:rsidRDefault="001D05F4" w:rsidP="001D05F4">
      <w:pPr>
        <w:tabs>
          <w:tab w:val="left" w:pos="1993"/>
        </w:tabs>
        <w:spacing w:before="0" w:after="0" w:line="240" w:lineRule="auto"/>
        <w:ind w:firstLine="0"/>
      </w:pPr>
    </w:p>
    <w:p w14:paraId="010A1A86" w14:textId="77777777" w:rsidR="001D05F4" w:rsidRPr="001D05F4" w:rsidRDefault="001D05F4" w:rsidP="001D05F4">
      <w:pPr>
        <w:tabs>
          <w:tab w:val="left" w:pos="1993"/>
        </w:tabs>
        <w:spacing w:before="0" w:after="0" w:line="240" w:lineRule="auto"/>
        <w:ind w:firstLine="0"/>
      </w:pPr>
      <w:r w:rsidRPr="001D05F4">
        <w:t xml:space="preserve">Fig. 14. As in Fig. 12, but for sensitivity of </w:t>
      </w:r>
      <w:r w:rsidRPr="001D05F4">
        <w:rPr>
          <w:i/>
          <w:iCs/>
        </w:rPr>
        <w:t>J</w:t>
      </w:r>
      <w:r w:rsidRPr="001D05F4">
        <w:rPr>
          <w:i/>
          <w:iCs/>
          <w:vertAlign w:val="subscript"/>
        </w:rPr>
        <w:t>AC</w:t>
      </w:r>
      <w:r w:rsidRPr="001D05F4">
        <w:t xml:space="preserve"> to 1000–500-hPa thickness (</w:t>
      </w:r>
      <w:proofErr w:type="spellStart"/>
      <w:r w:rsidRPr="001D05F4">
        <w:t>hPa</w:t>
      </w:r>
      <w:proofErr w:type="spellEnd"/>
      <w:r w:rsidRPr="001D05F4">
        <w:t>; shading)</w:t>
      </w:r>
    </w:p>
    <w:p w14:paraId="01139377" w14:textId="552BF932" w:rsidR="001D05F4" w:rsidRPr="001D05F4" w:rsidRDefault="001D05F4" w:rsidP="001D05F4">
      <w:pPr>
        <w:tabs>
          <w:tab w:val="left" w:pos="1993"/>
        </w:tabs>
        <w:spacing w:before="0" w:after="0" w:line="240" w:lineRule="auto"/>
        <w:ind w:firstLine="0"/>
      </w:pPr>
      <w:r w:rsidRPr="001D05F4">
        <w:t xml:space="preserve">and ensemble mean 1000–500-hPa thickness (dam; black contours) </w:t>
      </w:r>
      <w:r w:rsidRPr="001D05F4">
        <w:rPr>
          <w:rFonts w:eastAsia="MS Mincho"/>
          <w:szCs w:val="24"/>
        </w:rPr>
        <w:t xml:space="preserve">for AC16 </w:t>
      </w:r>
      <w:r w:rsidRPr="001D05F4">
        <w:t>at (a) 0000 UTC 13 August (72 h), (b) 1200 UTC 13 August (84 h), (c) 0000 UTC 14 August (96 h), and (d) 1200</w:t>
      </w:r>
      <w:r>
        <w:t xml:space="preserve"> </w:t>
      </w:r>
      <w:r w:rsidRPr="001D05F4">
        <w:t>UTC 14 August 2016 (108 h).</w:t>
      </w:r>
    </w:p>
    <w:p w14:paraId="5AFAB7F9" w14:textId="77777777" w:rsidR="001D05F4" w:rsidRDefault="001D05F4" w:rsidP="001D05F4">
      <w:pPr>
        <w:tabs>
          <w:tab w:val="left" w:pos="1993"/>
        </w:tabs>
        <w:spacing w:before="0" w:after="0" w:line="240" w:lineRule="auto"/>
        <w:ind w:firstLine="0"/>
      </w:pPr>
    </w:p>
    <w:p w14:paraId="13754119" w14:textId="19332AB9" w:rsidR="001D05F4" w:rsidRPr="001D05F4" w:rsidRDefault="001D05F4" w:rsidP="001D05F4">
      <w:pPr>
        <w:tabs>
          <w:tab w:val="left" w:pos="1993"/>
        </w:tabs>
        <w:spacing w:before="0" w:after="0" w:line="240" w:lineRule="auto"/>
        <w:ind w:firstLine="0"/>
      </w:pPr>
      <w:r w:rsidRPr="001D05F4">
        <w:t xml:space="preserve">Fig. 15. As in Fig. 12, but for sensitivity of </w:t>
      </w:r>
      <w:r w:rsidRPr="001D05F4">
        <w:rPr>
          <w:i/>
          <w:iCs/>
        </w:rPr>
        <w:t>J</w:t>
      </w:r>
      <w:r w:rsidRPr="001D05F4">
        <w:rPr>
          <w:i/>
          <w:iCs/>
          <w:vertAlign w:val="subscript"/>
        </w:rPr>
        <w:t>AC</w:t>
      </w:r>
      <w:r w:rsidRPr="001D05F4">
        <w:t xml:space="preserve"> to 1000–850-hPa IMFC area averaged within</w:t>
      </w:r>
    </w:p>
    <w:p w14:paraId="41D24B69" w14:textId="62D797B7" w:rsidR="001D05F4" w:rsidRPr="00DF6403" w:rsidRDefault="001D05F4" w:rsidP="001D05F4">
      <w:pPr>
        <w:tabs>
          <w:tab w:val="left" w:pos="1993"/>
        </w:tabs>
        <w:spacing w:before="0" w:after="0" w:line="240" w:lineRule="auto"/>
        <w:ind w:firstLine="0"/>
      </w:pPr>
      <w:r w:rsidRPr="001D05F4">
        <w:t>200 km of each grid point (</w:t>
      </w:r>
      <w:proofErr w:type="spellStart"/>
      <w:r w:rsidRPr="001D05F4">
        <w:t>hPa</w:t>
      </w:r>
      <w:proofErr w:type="spellEnd"/>
      <w:r w:rsidRPr="001D05F4">
        <w:t>; shading), ensemble mean 1000–850-hPa IMFC area averaged</w:t>
      </w:r>
      <w:r>
        <w:t xml:space="preserve"> </w:t>
      </w:r>
      <w:r w:rsidRPr="001D05F4">
        <w:t>within 200 km of each grid point [every 80 W m</w:t>
      </w:r>
      <w:r w:rsidRPr="001D05F4">
        <w:rPr>
          <w:vertAlign w:val="superscript"/>
        </w:rPr>
        <w:t>−2</w:t>
      </w:r>
      <w:r w:rsidRPr="001D05F4">
        <w:t>; black contours (solid for positive values and</w:t>
      </w:r>
      <w:r>
        <w:t xml:space="preserve"> </w:t>
      </w:r>
      <w:r w:rsidRPr="001D05F4">
        <w:t xml:space="preserve">dashed for negative values)], and ensemble mean 1000–850-hPa IVT (kg </w:t>
      </w:r>
      <w:r w:rsidRPr="001D05F4">
        <w:lastRenderedPageBreak/>
        <w:t>m</w:t>
      </w:r>
      <w:r w:rsidRPr="001D05F4">
        <w:rPr>
          <w:vertAlign w:val="superscript"/>
        </w:rPr>
        <w:t>−1</w:t>
      </w:r>
      <w:r w:rsidRPr="001D05F4">
        <w:t xml:space="preserve"> s</w:t>
      </w:r>
      <w:r w:rsidRPr="001D05F4">
        <w:rPr>
          <w:vertAlign w:val="superscript"/>
        </w:rPr>
        <w:t>−1</w:t>
      </w:r>
      <w:r w:rsidRPr="001D05F4">
        <w:t xml:space="preserve">; vectors) </w:t>
      </w:r>
      <w:r w:rsidRPr="001D05F4">
        <w:rPr>
          <w:rFonts w:eastAsia="MS Mincho"/>
          <w:szCs w:val="24"/>
        </w:rPr>
        <w:t xml:space="preserve">for AC16 </w:t>
      </w:r>
      <w:r w:rsidRPr="001D05F4">
        <w:t>at (a) 0000 UTC 13 August (72 h), (b) 1200 UTC 13 August (84 h), (c) 0000 UTC 14 August (96 h), and (d) 1200 UTC 14 August 2016 (108 h).</w:t>
      </w:r>
    </w:p>
    <w:sectPr w:rsidR="001D05F4" w:rsidRPr="00DF6403" w:rsidSect="00531A0B">
      <w:headerReference w:type="even" r:id="rId62"/>
      <w:footerReference w:type="even" r:id="rId63"/>
      <w:footerReference w:type="default" r:id="rId64"/>
      <w:headerReference w:type="first" r:id="rId65"/>
      <w:footerReference w:type="first" r:id="rId66"/>
      <w:pgSz w:w="11906" w:h="16838"/>
      <w:pgMar w:top="1440" w:right="1440" w:bottom="1440" w:left="1440" w:header="706" w:footer="706"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87472E" w14:textId="77777777" w:rsidR="002A2208" w:rsidRDefault="002A2208" w:rsidP="00BE02FD">
      <w:r>
        <w:separator/>
      </w:r>
    </w:p>
    <w:p w14:paraId="24C26B0E" w14:textId="77777777" w:rsidR="002A2208" w:rsidRDefault="002A2208" w:rsidP="00BE02FD"/>
    <w:p w14:paraId="5191CC88" w14:textId="77777777" w:rsidR="002A2208" w:rsidRDefault="002A2208"/>
  </w:endnote>
  <w:endnote w:type="continuationSeparator" w:id="0">
    <w:p w14:paraId="465390D4" w14:textId="77777777" w:rsidR="002A2208" w:rsidRDefault="002A2208" w:rsidP="00BE02FD">
      <w:r>
        <w:continuationSeparator/>
      </w:r>
    </w:p>
    <w:p w14:paraId="0EE7EEA2" w14:textId="77777777" w:rsidR="002A2208" w:rsidRDefault="002A2208" w:rsidP="00BE02FD"/>
    <w:p w14:paraId="72BA799E" w14:textId="77777777" w:rsidR="002A2208" w:rsidRDefault="002A220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DC75" w14:textId="77777777" w:rsidR="00CE4125" w:rsidRPr="004E1E6F" w:rsidRDefault="00CE4125" w:rsidP="00BE02FD">
    <w:r>
      <w:t xml:space="preserve">Page </w:t>
    </w:r>
    <w:r>
      <w:fldChar w:fldCharType="begin"/>
    </w:r>
    <w:r>
      <w:instrText xml:space="preserve"> PAGE  \* MERGEFORMAT </w:instrText>
    </w:r>
    <w:r>
      <w:fldChar w:fldCharType="separate"/>
    </w:r>
    <w:r>
      <w:rPr>
        <w:noProof/>
      </w:rPr>
      <w:t>24</w:t>
    </w:r>
    <w:r>
      <w:fldChar w:fldCharType="end"/>
    </w:r>
    <w:r>
      <w:t xml:space="preserve"> of </w:t>
    </w:r>
    <w:fldSimple w:instr=" NUMPAGES  \* MERGEFORMAT ">
      <w:r>
        <w:rPr>
          <w:noProof/>
        </w:rPr>
        <w:t>24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836544"/>
      <w:docPartObj>
        <w:docPartGallery w:val="Page Numbers (Bottom of Page)"/>
        <w:docPartUnique/>
      </w:docPartObj>
    </w:sdtPr>
    <w:sdtEndPr>
      <w:rPr>
        <w:noProof/>
      </w:rPr>
    </w:sdtEndPr>
    <w:sdtContent>
      <w:p w14:paraId="7A7172F3" w14:textId="262C9936" w:rsidR="00CE4125" w:rsidRPr="00AB5C37" w:rsidRDefault="00CE4125" w:rsidP="00F12980">
        <w:pPr>
          <w:pStyle w:val="Footer"/>
          <w:jc w:val="right"/>
        </w:pPr>
        <w:r w:rsidRPr="00AB5C37">
          <w:fldChar w:fldCharType="begin"/>
        </w:r>
        <w:r w:rsidRPr="00AB5C37">
          <w:instrText xml:space="preserve"> PAGE   \* MERGEFORMAT </w:instrText>
        </w:r>
        <w:r w:rsidRPr="00AB5C37">
          <w:fldChar w:fldCharType="separate"/>
        </w:r>
        <w:r w:rsidR="002F01FB">
          <w:rPr>
            <w:noProof/>
          </w:rPr>
          <w:t>1</w:t>
        </w:r>
        <w:r w:rsidRPr="00AB5C37">
          <w:rPr>
            <w:noProof/>
          </w:rPr>
          <w:fldChar w:fldCharType="end"/>
        </w:r>
      </w:p>
    </w:sdtContent>
  </w:sdt>
  <w:p w14:paraId="31747F60" w14:textId="61273928" w:rsidR="00CE4125" w:rsidRPr="004E1E6F" w:rsidRDefault="00CE4125" w:rsidP="00043411">
    <w:pPr>
      <w:ind w:firstLine="0"/>
    </w:pPr>
    <w:r w:rsidRPr="00AB5C37">
      <w:t xml:space="preserve">File generated with AMS Word template </w:t>
    </w:r>
    <w:r>
      <w:t>2</w:t>
    </w:r>
    <w:r w:rsidRPr="00AB5C37">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9E48" w14:textId="77777777" w:rsidR="00CE4125" w:rsidRPr="004E1E6F" w:rsidRDefault="00CE4125" w:rsidP="00BE02FD">
    <w:r>
      <w:t xml:space="preserve">Page </w:t>
    </w:r>
    <w:r>
      <w:fldChar w:fldCharType="begin"/>
    </w:r>
    <w:r>
      <w:instrText xml:space="preserve"> PAGE  \* MERGEFORMAT </w:instrText>
    </w:r>
    <w:r>
      <w:fldChar w:fldCharType="separate"/>
    </w:r>
    <w:r>
      <w:rPr>
        <w:noProof/>
      </w:rPr>
      <w:t>24</w:t>
    </w:r>
    <w:r>
      <w:fldChar w:fldCharType="end"/>
    </w:r>
    <w:r>
      <w:t xml:space="preserve"> of </w:t>
    </w:r>
    <w:fldSimple w:instr=" NUMPAGES  \* MERGEFORMAT ">
      <w:r>
        <w:rPr>
          <w:noProof/>
        </w:rPr>
        <w:t>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35A93" w14:textId="77777777" w:rsidR="002A2208" w:rsidRDefault="002A2208" w:rsidP="00BE02FD">
      <w:r>
        <w:separator/>
      </w:r>
    </w:p>
    <w:p w14:paraId="17A6AA52" w14:textId="77777777" w:rsidR="002A2208" w:rsidRDefault="002A2208" w:rsidP="00BE02FD"/>
    <w:p w14:paraId="6FE0DB5C" w14:textId="77777777" w:rsidR="002A2208" w:rsidRDefault="002A2208"/>
  </w:footnote>
  <w:footnote w:type="continuationSeparator" w:id="0">
    <w:p w14:paraId="2B610A57" w14:textId="77777777" w:rsidR="002A2208" w:rsidRDefault="002A2208" w:rsidP="00BE02FD">
      <w:r>
        <w:continuationSeparator/>
      </w:r>
    </w:p>
    <w:p w14:paraId="44D673D6" w14:textId="77777777" w:rsidR="002A2208" w:rsidRDefault="002A2208" w:rsidP="00BE02FD"/>
    <w:p w14:paraId="7226B67A" w14:textId="77777777" w:rsidR="002A2208" w:rsidRDefault="002A220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F4CF" w14:textId="77777777" w:rsidR="00CE4125" w:rsidRPr="004E1E6F" w:rsidRDefault="00CE4125" w:rsidP="00BE02FD">
    <w:r w:rsidRPr="004E1E6F">
      <w:t xml:space="preserve">Publisher: AMS; Journal: </w:t>
    </w:r>
    <w:proofErr w:type="spellStart"/>
    <w:proofErr w:type="gramStart"/>
    <w:r w:rsidRPr="004E1E6F">
      <w:t>WAF:Weather</w:t>
    </w:r>
    <w:proofErr w:type="spellEnd"/>
    <w:proofErr w:type="gramEnd"/>
    <w:r w:rsidRPr="004E1E6F">
      <w:t xml:space="preserve"> and Forecasting</w:t>
    </w:r>
  </w:p>
  <w:p w14:paraId="26737EEB" w14:textId="77777777" w:rsidR="00CE4125" w:rsidRPr="004E1E6F" w:rsidRDefault="00CE4125" w:rsidP="00BE02FD">
    <w:r w:rsidRPr="004E1E6F">
      <w:t xml:space="preserve"> Job#: 0; Volume: 00; Issue: 0; Art#: D190061; Prod#</w:t>
    </w:r>
    <w:proofErr w:type="gramStart"/>
    <w:r w:rsidRPr="004E1E6F">
      <w:t>: ;</w:t>
    </w:r>
    <w:proofErr w:type="gramEnd"/>
  </w:p>
  <w:p w14:paraId="37D8CF6B" w14:textId="77777777" w:rsidR="00CE4125" w:rsidRPr="004E1E6F" w:rsidRDefault="00CE4125" w:rsidP="00BE02FD">
    <w:r w:rsidRPr="004E1E6F">
      <w:t xml:space="preserve"> Month</w:t>
    </w:r>
    <w:proofErr w:type="gramStart"/>
    <w:r w:rsidRPr="004E1E6F">
      <w:t>: ;</w:t>
    </w:r>
    <w:proofErr w:type="gramEnd"/>
    <w:r w:rsidRPr="004E1E6F">
      <w:t xml:space="preserve"> Year: ; Section Head: ; </w:t>
    </w:r>
    <w:proofErr w:type="spellStart"/>
    <w:r w:rsidRPr="004E1E6F">
      <w:t>CopyHold</w:t>
    </w:r>
    <w:proofErr w:type="spellEnd"/>
    <w:r w:rsidRPr="004E1E6F">
      <w:t>: Publisher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FA980" w14:textId="77777777" w:rsidR="00CE4125" w:rsidRPr="004E1E6F" w:rsidRDefault="00CE4125" w:rsidP="00BE02FD">
    <w:r w:rsidRPr="004E1E6F">
      <w:t xml:space="preserve">Publisher: AMS; Journal: </w:t>
    </w:r>
    <w:proofErr w:type="spellStart"/>
    <w:proofErr w:type="gramStart"/>
    <w:r w:rsidRPr="004E1E6F">
      <w:t>WAF:Weather</w:t>
    </w:r>
    <w:proofErr w:type="spellEnd"/>
    <w:proofErr w:type="gramEnd"/>
    <w:r w:rsidRPr="004E1E6F">
      <w:t xml:space="preserve"> and Forecasting</w:t>
    </w:r>
  </w:p>
  <w:p w14:paraId="09E646E8" w14:textId="77777777" w:rsidR="00CE4125" w:rsidRPr="004E1E6F" w:rsidRDefault="00CE4125" w:rsidP="00BE02FD">
    <w:r w:rsidRPr="004E1E6F">
      <w:t xml:space="preserve"> Job#: 0; Volume: 00; Issue: 0; Art#: D190061; Prod#</w:t>
    </w:r>
    <w:proofErr w:type="gramStart"/>
    <w:r w:rsidRPr="004E1E6F">
      <w:t>: ;</w:t>
    </w:r>
    <w:proofErr w:type="gramEnd"/>
  </w:p>
  <w:p w14:paraId="623AD69F" w14:textId="77777777" w:rsidR="00CE4125" w:rsidRPr="004E1E6F" w:rsidRDefault="00CE4125" w:rsidP="00BE02FD">
    <w:r w:rsidRPr="004E1E6F">
      <w:t xml:space="preserve"> Month</w:t>
    </w:r>
    <w:proofErr w:type="gramStart"/>
    <w:r w:rsidRPr="004E1E6F">
      <w:t>: ;</w:t>
    </w:r>
    <w:proofErr w:type="gramEnd"/>
    <w:r w:rsidRPr="004E1E6F">
      <w:t xml:space="preserve"> Year: ; Section Head: ; </w:t>
    </w:r>
    <w:proofErr w:type="spellStart"/>
    <w:r w:rsidRPr="004E1E6F">
      <w:t>CopyHold</w:t>
    </w:r>
    <w:proofErr w:type="spellEnd"/>
    <w:r w:rsidRPr="004E1E6F">
      <w:t>: Publisher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D6ED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E8A149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86A4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E8402E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E18971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B8D86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22CB6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B16CD0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E664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56A5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205B65"/>
    <w:multiLevelType w:val="hybridMultilevel"/>
    <w:tmpl w:val="B03C64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B41682"/>
    <w:multiLevelType w:val="singleLevel"/>
    <w:tmpl w:val="A316F0C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CA7786"/>
    <w:multiLevelType w:val="singleLevel"/>
    <w:tmpl w:val="103E59D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11869BF"/>
    <w:multiLevelType w:val="multilevel"/>
    <w:tmpl w:val="922C0B6C"/>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472A6623"/>
    <w:multiLevelType w:val="singleLevel"/>
    <w:tmpl w:val="530C55E2"/>
    <w:lvl w:ilvl="0">
      <w:start w:val="1"/>
      <w:numFmt w:val="decimal"/>
      <w:lvlText w:val="[%1]"/>
      <w:lvlJc w:val="left"/>
      <w:pPr>
        <w:tabs>
          <w:tab w:val="num" w:pos="360"/>
        </w:tabs>
        <w:ind w:left="360" w:hanging="360"/>
      </w:pPr>
    </w:lvl>
  </w:abstractNum>
  <w:abstractNum w:abstractNumId="15" w15:restartNumberingAfterBreak="0">
    <w:nsid w:val="4FFC4E2E"/>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34D68EA"/>
    <w:multiLevelType w:val="hybridMultilevel"/>
    <w:tmpl w:val="A260C9F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D6E1C8B"/>
    <w:multiLevelType w:val="singleLevel"/>
    <w:tmpl w:val="9B661448"/>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DCD402E"/>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CE54F4C"/>
    <w:multiLevelType w:val="multilevel"/>
    <w:tmpl w:val="9AAE7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116A5F"/>
    <w:multiLevelType w:val="hybridMultilevel"/>
    <w:tmpl w:val="0DB8A1F2"/>
    <w:lvl w:ilvl="0" w:tplc="41E8D5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1079008">
    <w:abstractNumId w:val="19"/>
  </w:num>
  <w:num w:numId="2" w16cid:durableId="1897816075">
    <w:abstractNumId w:val="13"/>
  </w:num>
  <w:num w:numId="3" w16cid:durableId="1134832234">
    <w:abstractNumId w:val="10"/>
  </w:num>
  <w:num w:numId="4" w16cid:durableId="1764034994">
    <w:abstractNumId w:val="16"/>
  </w:num>
  <w:num w:numId="5" w16cid:durableId="1134640045">
    <w:abstractNumId w:val="20"/>
  </w:num>
  <w:num w:numId="6" w16cid:durableId="903025519">
    <w:abstractNumId w:val="12"/>
  </w:num>
  <w:num w:numId="7" w16cid:durableId="1498576371">
    <w:abstractNumId w:val="14"/>
  </w:num>
  <w:num w:numId="8" w16cid:durableId="382758723">
    <w:abstractNumId w:val="17"/>
  </w:num>
  <w:num w:numId="9" w16cid:durableId="1721974737">
    <w:abstractNumId w:val="11"/>
  </w:num>
  <w:num w:numId="10" w16cid:durableId="629434331">
    <w:abstractNumId w:val="9"/>
  </w:num>
  <w:num w:numId="11" w16cid:durableId="322705957">
    <w:abstractNumId w:val="7"/>
  </w:num>
  <w:num w:numId="12" w16cid:durableId="247858068">
    <w:abstractNumId w:val="6"/>
  </w:num>
  <w:num w:numId="13" w16cid:durableId="3168529">
    <w:abstractNumId w:val="5"/>
  </w:num>
  <w:num w:numId="14" w16cid:durableId="1058044133">
    <w:abstractNumId w:val="4"/>
  </w:num>
  <w:num w:numId="15" w16cid:durableId="626275051">
    <w:abstractNumId w:val="8"/>
  </w:num>
  <w:num w:numId="16" w16cid:durableId="77602446">
    <w:abstractNumId w:val="3"/>
  </w:num>
  <w:num w:numId="17" w16cid:durableId="1756777641">
    <w:abstractNumId w:val="2"/>
  </w:num>
  <w:num w:numId="18" w16cid:durableId="1086728214">
    <w:abstractNumId w:val="1"/>
  </w:num>
  <w:num w:numId="19" w16cid:durableId="1110397861">
    <w:abstractNumId w:val="0"/>
  </w:num>
  <w:num w:numId="20" w16cid:durableId="772825014">
    <w:abstractNumId w:val="15"/>
  </w:num>
  <w:num w:numId="21" w16cid:durableId="20961280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MS" w:val="1"/>
    <w:docVar w:name="AutoRedact State" w:val="ready"/>
    <w:docVar w:name="CopyHold" w:val="Publisher"/>
    <w:docVar w:name="docstruct" w:val="1"/>
    <w:docVar w:name="DOI" w:val="10.1175/WAF-D-19-0061.1"/>
    <w:docVar w:name="ex_AddedHTMLPreformat" w:val="Courier New"/>
    <w:docVar w:name="ex_AutoRedact" w:val="APComplete"/>
    <w:docVar w:name="ex_Citations" w:val="APComplete"/>
    <w:docVar w:name="ex_CleanUp" w:val="CleanUpComplete"/>
    <w:docVar w:name="ex_CrossRef" w:val="APComplete"/>
    <w:docVar w:name="eX_DocInfoLastUpdatedDate" w:val="44015.3731828704"/>
    <w:docVar w:name="ex_eXtylesBuild" w:val="4011"/>
    <w:docVar w:name="ex_FontAudit" w:val="APComplete"/>
    <w:docVar w:name="ex_HighlightGraphics" w:val="APComplete"/>
    <w:docVar w:name="ex_ParseBib" w:val="APComplete"/>
    <w:docVar w:name="ex_SortRefsCell" w:val="APComplete"/>
    <w:docVar w:name="ex_WordVersion" w:val="14.0"/>
    <w:docVar w:name="eXtyles" w:val="active"/>
    <w:docVar w:name="ExtylesTagDescriptors" w:val="Blind Text|BLIND|Case|CASE|City|CTY|Collaboration|collab|Country|CNY|Degree(s)|degs|First Name|fnm|Genbank|GENBANK|Inline Equation|EQ|Role|roles|Skip|SKIP|Surname|snm|"/>
    <w:docVar w:name="Footnote Mode By Section" w:val="NO"/>
    <w:docVar w:name="iceJABR" w:val="WAF"/>
    <w:docVar w:name="iceJournal" w:val="WAF:Weather and Forecasting"/>
    <w:docVar w:name="iceJournalName" w:val="Weather and Forecasting"/>
    <w:docVar w:name="icePublisher" w:val="AMS"/>
    <w:docVar w:name="iceType" w:val="ARTICLES"/>
    <w:docVar w:name="Issue" w:val="0"/>
    <w:docVar w:name="JobNo" w:val="0"/>
    <w:docVar w:name="Manuscript" w:val="D190061"/>
    <w:docVar w:name="PreEdit Up-Front Loss" w:val="complete"/>
    <w:docVar w:name="prep" w:val="1"/>
    <w:docVar w:name="prepinitialize" w:val="1"/>
    <w:docVar w:name="stylechecker" w:val="1"/>
    <w:docVar w:name="table" w:val="1"/>
    <w:docVar w:name="tablenested" w:val="1"/>
    <w:docVar w:name="VERSION" w:val="5.38"/>
    <w:docVar w:name="Volume" w:val="00"/>
  </w:docVars>
  <w:rsids>
    <w:rsidRoot w:val="000B3D57"/>
    <w:rsid w:val="00000FE6"/>
    <w:rsid w:val="000010D2"/>
    <w:rsid w:val="0000146A"/>
    <w:rsid w:val="00001B01"/>
    <w:rsid w:val="0000390D"/>
    <w:rsid w:val="00003A71"/>
    <w:rsid w:val="0000628E"/>
    <w:rsid w:val="00006819"/>
    <w:rsid w:val="00007712"/>
    <w:rsid w:val="00007CCD"/>
    <w:rsid w:val="000102AE"/>
    <w:rsid w:val="0001054C"/>
    <w:rsid w:val="00011BD9"/>
    <w:rsid w:val="0001226D"/>
    <w:rsid w:val="0001235B"/>
    <w:rsid w:val="00013138"/>
    <w:rsid w:val="000136F2"/>
    <w:rsid w:val="00013AA9"/>
    <w:rsid w:val="000140CA"/>
    <w:rsid w:val="00014880"/>
    <w:rsid w:val="000153B6"/>
    <w:rsid w:val="00015648"/>
    <w:rsid w:val="00015876"/>
    <w:rsid w:val="000160E4"/>
    <w:rsid w:val="00017F08"/>
    <w:rsid w:val="00020349"/>
    <w:rsid w:val="00020A80"/>
    <w:rsid w:val="00020B33"/>
    <w:rsid w:val="000218AC"/>
    <w:rsid w:val="00021AD0"/>
    <w:rsid w:val="00021BE9"/>
    <w:rsid w:val="00021BEF"/>
    <w:rsid w:val="0002242A"/>
    <w:rsid w:val="00022E9D"/>
    <w:rsid w:val="00023418"/>
    <w:rsid w:val="00024949"/>
    <w:rsid w:val="00024E6B"/>
    <w:rsid w:val="000267C4"/>
    <w:rsid w:val="00027677"/>
    <w:rsid w:val="000277CE"/>
    <w:rsid w:val="00027C5B"/>
    <w:rsid w:val="00027DD6"/>
    <w:rsid w:val="00030E71"/>
    <w:rsid w:val="0003105F"/>
    <w:rsid w:val="0003274C"/>
    <w:rsid w:val="0003447F"/>
    <w:rsid w:val="00035E5B"/>
    <w:rsid w:val="000363DA"/>
    <w:rsid w:val="00036B29"/>
    <w:rsid w:val="000372C3"/>
    <w:rsid w:val="000409FF"/>
    <w:rsid w:val="00042284"/>
    <w:rsid w:val="00043113"/>
    <w:rsid w:val="00043411"/>
    <w:rsid w:val="000442E9"/>
    <w:rsid w:val="00044F02"/>
    <w:rsid w:val="0004613E"/>
    <w:rsid w:val="000501BE"/>
    <w:rsid w:val="0005126C"/>
    <w:rsid w:val="00052411"/>
    <w:rsid w:val="00054486"/>
    <w:rsid w:val="00054CC9"/>
    <w:rsid w:val="00055E56"/>
    <w:rsid w:val="0005651E"/>
    <w:rsid w:val="0006182F"/>
    <w:rsid w:val="00061CCE"/>
    <w:rsid w:val="00062180"/>
    <w:rsid w:val="00062599"/>
    <w:rsid w:val="00063BDC"/>
    <w:rsid w:val="00064448"/>
    <w:rsid w:val="00064E83"/>
    <w:rsid w:val="00065249"/>
    <w:rsid w:val="000657F8"/>
    <w:rsid w:val="000657FC"/>
    <w:rsid w:val="00066B74"/>
    <w:rsid w:val="00066BA5"/>
    <w:rsid w:val="00067348"/>
    <w:rsid w:val="00070C5F"/>
    <w:rsid w:val="00070CFD"/>
    <w:rsid w:val="00070D48"/>
    <w:rsid w:val="000723E2"/>
    <w:rsid w:val="0007321B"/>
    <w:rsid w:val="00073428"/>
    <w:rsid w:val="000759D3"/>
    <w:rsid w:val="0008085F"/>
    <w:rsid w:val="00081B2A"/>
    <w:rsid w:val="000832F2"/>
    <w:rsid w:val="0008341E"/>
    <w:rsid w:val="00083772"/>
    <w:rsid w:val="00085505"/>
    <w:rsid w:val="0008599B"/>
    <w:rsid w:val="000860D8"/>
    <w:rsid w:val="0008767B"/>
    <w:rsid w:val="0009025E"/>
    <w:rsid w:val="00090747"/>
    <w:rsid w:val="00094EF8"/>
    <w:rsid w:val="00096CF8"/>
    <w:rsid w:val="000974CD"/>
    <w:rsid w:val="00097AD0"/>
    <w:rsid w:val="000A013D"/>
    <w:rsid w:val="000A159F"/>
    <w:rsid w:val="000A1733"/>
    <w:rsid w:val="000A28E8"/>
    <w:rsid w:val="000A29C0"/>
    <w:rsid w:val="000A323F"/>
    <w:rsid w:val="000A4F70"/>
    <w:rsid w:val="000A5267"/>
    <w:rsid w:val="000A61E0"/>
    <w:rsid w:val="000A6811"/>
    <w:rsid w:val="000A7FF5"/>
    <w:rsid w:val="000B1947"/>
    <w:rsid w:val="000B25F8"/>
    <w:rsid w:val="000B3D57"/>
    <w:rsid w:val="000B3EAC"/>
    <w:rsid w:val="000B3F5C"/>
    <w:rsid w:val="000B4055"/>
    <w:rsid w:val="000B475F"/>
    <w:rsid w:val="000C1FF8"/>
    <w:rsid w:val="000C283E"/>
    <w:rsid w:val="000C2DC3"/>
    <w:rsid w:val="000C31BA"/>
    <w:rsid w:val="000C3472"/>
    <w:rsid w:val="000C5DB9"/>
    <w:rsid w:val="000C6419"/>
    <w:rsid w:val="000D05A6"/>
    <w:rsid w:val="000D2D3B"/>
    <w:rsid w:val="000D345D"/>
    <w:rsid w:val="000D3AE4"/>
    <w:rsid w:val="000D4613"/>
    <w:rsid w:val="000D631F"/>
    <w:rsid w:val="000D6331"/>
    <w:rsid w:val="000D6820"/>
    <w:rsid w:val="000D6FE3"/>
    <w:rsid w:val="000D73D0"/>
    <w:rsid w:val="000D777D"/>
    <w:rsid w:val="000E01FB"/>
    <w:rsid w:val="000E02D6"/>
    <w:rsid w:val="000E07EB"/>
    <w:rsid w:val="000E092C"/>
    <w:rsid w:val="000E14AB"/>
    <w:rsid w:val="000E1556"/>
    <w:rsid w:val="000E1593"/>
    <w:rsid w:val="000E1E66"/>
    <w:rsid w:val="000E226F"/>
    <w:rsid w:val="000E2B3C"/>
    <w:rsid w:val="000E4744"/>
    <w:rsid w:val="000E4BA7"/>
    <w:rsid w:val="000E5149"/>
    <w:rsid w:val="000E74AA"/>
    <w:rsid w:val="000F0758"/>
    <w:rsid w:val="000F258C"/>
    <w:rsid w:val="000F362D"/>
    <w:rsid w:val="000F3B63"/>
    <w:rsid w:val="000F5514"/>
    <w:rsid w:val="000F5966"/>
    <w:rsid w:val="000F66DF"/>
    <w:rsid w:val="000F7A68"/>
    <w:rsid w:val="001000E4"/>
    <w:rsid w:val="001002E2"/>
    <w:rsid w:val="00101750"/>
    <w:rsid w:val="00101923"/>
    <w:rsid w:val="00102D4F"/>
    <w:rsid w:val="0010316E"/>
    <w:rsid w:val="0010364D"/>
    <w:rsid w:val="001049E2"/>
    <w:rsid w:val="0010727A"/>
    <w:rsid w:val="00110F18"/>
    <w:rsid w:val="001116C2"/>
    <w:rsid w:val="0011292C"/>
    <w:rsid w:val="001133E5"/>
    <w:rsid w:val="00114EA8"/>
    <w:rsid w:val="001171DF"/>
    <w:rsid w:val="001179DD"/>
    <w:rsid w:val="00117EA5"/>
    <w:rsid w:val="00121ABA"/>
    <w:rsid w:val="00121E75"/>
    <w:rsid w:val="0012230E"/>
    <w:rsid w:val="001230C8"/>
    <w:rsid w:val="00125ABA"/>
    <w:rsid w:val="0012606A"/>
    <w:rsid w:val="001260D4"/>
    <w:rsid w:val="00126652"/>
    <w:rsid w:val="001272BB"/>
    <w:rsid w:val="001324A6"/>
    <w:rsid w:val="00132C3C"/>
    <w:rsid w:val="00133202"/>
    <w:rsid w:val="0013369A"/>
    <w:rsid w:val="00134AC7"/>
    <w:rsid w:val="00135C78"/>
    <w:rsid w:val="001362C2"/>
    <w:rsid w:val="001369F5"/>
    <w:rsid w:val="0014458A"/>
    <w:rsid w:val="00144AA7"/>
    <w:rsid w:val="00145067"/>
    <w:rsid w:val="00145103"/>
    <w:rsid w:val="00147C30"/>
    <w:rsid w:val="00151DA3"/>
    <w:rsid w:val="00152809"/>
    <w:rsid w:val="00152F4F"/>
    <w:rsid w:val="00154EE1"/>
    <w:rsid w:val="00154EEF"/>
    <w:rsid w:val="00155D9A"/>
    <w:rsid w:val="00160308"/>
    <w:rsid w:val="00160AFF"/>
    <w:rsid w:val="00160C6D"/>
    <w:rsid w:val="00160CAE"/>
    <w:rsid w:val="00160FC2"/>
    <w:rsid w:val="00161D03"/>
    <w:rsid w:val="00162B3A"/>
    <w:rsid w:val="00163F86"/>
    <w:rsid w:val="001648F8"/>
    <w:rsid w:val="00165099"/>
    <w:rsid w:val="001652CE"/>
    <w:rsid w:val="0016557E"/>
    <w:rsid w:val="001655E2"/>
    <w:rsid w:val="001660BC"/>
    <w:rsid w:val="001677BC"/>
    <w:rsid w:val="00167C8A"/>
    <w:rsid w:val="00170A72"/>
    <w:rsid w:val="00172B1E"/>
    <w:rsid w:val="00173011"/>
    <w:rsid w:val="0017360A"/>
    <w:rsid w:val="001737FA"/>
    <w:rsid w:val="0017516D"/>
    <w:rsid w:val="00175A37"/>
    <w:rsid w:val="00176C6F"/>
    <w:rsid w:val="00177454"/>
    <w:rsid w:val="00177B72"/>
    <w:rsid w:val="0018117C"/>
    <w:rsid w:val="00182E51"/>
    <w:rsid w:val="00182E7B"/>
    <w:rsid w:val="00183374"/>
    <w:rsid w:val="00183528"/>
    <w:rsid w:val="001841D4"/>
    <w:rsid w:val="0018461B"/>
    <w:rsid w:val="00186C12"/>
    <w:rsid w:val="00187695"/>
    <w:rsid w:val="001912B2"/>
    <w:rsid w:val="00193150"/>
    <w:rsid w:val="001931B1"/>
    <w:rsid w:val="00193378"/>
    <w:rsid w:val="0019348E"/>
    <w:rsid w:val="001935C6"/>
    <w:rsid w:val="00193F5C"/>
    <w:rsid w:val="001940B4"/>
    <w:rsid w:val="001947CB"/>
    <w:rsid w:val="00194ED7"/>
    <w:rsid w:val="001953B3"/>
    <w:rsid w:val="00195A52"/>
    <w:rsid w:val="0019753A"/>
    <w:rsid w:val="00197F01"/>
    <w:rsid w:val="001A09AE"/>
    <w:rsid w:val="001A0D9C"/>
    <w:rsid w:val="001A0E78"/>
    <w:rsid w:val="001A1265"/>
    <w:rsid w:val="001A12D7"/>
    <w:rsid w:val="001A1E46"/>
    <w:rsid w:val="001A4757"/>
    <w:rsid w:val="001A6B9A"/>
    <w:rsid w:val="001A6BF3"/>
    <w:rsid w:val="001A70FA"/>
    <w:rsid w:val="001A743A"/>
    <w:rsid w:val="001B1D21"/>
    <w:rsid w:val="001B2252"/>
    <w:rsid w:val="001B2DBC"/>
    <w:rsid w:val="001B30C7"/>
    <w:rsid w:val="001B31C6"/>
    <w:rsid w:val="001B3E92"/>
    <w:rsid w:val="001B5C9A"/>
    <w:rsid w:val="001B5F78"/>
    <w:rsid w:val="001B64EB"/>
    <w:rsid w:val="001B75B5"/>
    <w:rsid w:val="001C0537"/>
    <w:rsid w:val="001C07B9"/>
    <w:rsid w:val="001C0A53"/>
    <w:rsid w:val="001C0B0C"/>
    <w:rsid w:val="001C0E10"/>
    <w:rsid w:val="001C1E5C"/>
    <w:rsid w:val="001C22ED"/>
    <w:rsid w:val="001C2458"/>
    <w:rsid w:val="001C2A33"/>
    <w:rsid w:val="001C3610"/>
    <w:rsid w:val="001C5C08"/>
    <w:rsid w:val="001C5E7E"/>
    <w:rsid w:val="001C6802"/>
    <w:rsid w:val="001C687D"/>
    <w:rsid w:val="001C6DF7"/>
    <w:rsid w:val="001C720E"/>
    <w:rsid w:val="001C7931"/>
    <w:rsid w:val="001D007E"/>
    <w:rsid w:val="001D0542"/>
    <w:rsid w:val="001D05F4"/>
    <w:rsid w:val="001D0AE3"/>
    <w:rsid w:val="001D0C7F"/>
    <w:rsid w:val="001D17B6"/>
    <w:rsid w:val="001D189E"/>
    <w:rsid w:val="001D226F"/>
    <w:rsid w:val="001D3131"/>
    <w:rsid w:val="001D3F91"/>
    <w:rsid w:val="001D49A1"/>
    <w:rsid w:val="001D5178"/>
    <w:rsid w:val="001D699A"/>
    <w:rsid w:val="001D6B8D"/>
    <w:rsid w:val="001D79E5"/>
    <w:rsid w:val="001E1689"/>
    <w:rsid w:val="001E2396"/>
    <w:rsid w:val="001E287E"/>
    <w:rsid w:val="001E29D3"/>
    <w:rsid w:val="001E33B5"/>
    <w:rsid w:val="001E409D"/>
    <w:rsid w:val="001E47A4"/>
    <w:rsid w:val="001E4925"/>
    <w:rsid w:val="001E5954"/>
    <w:rsid w:val="001E6B42"/>
    <w:rsid w:val="001E6EA7"/>
    <w:rsid w:val="001E714D"/>
    <w:rsid w:val="001F0684"/>
    <w:rsid w:val="001F16C0"/>
    <w:rsid w:val="001F1D89"/>
    <w:rsid w:val="001F1F36"/>
    <w:rsid w:val="001F2BA6"/>
    <w:rsid w:val="001F38B5"/>
    <w:rsid w:val="001F4881"/>
    <w:rsid w:val="001F4F51"/>
    <w:rsid w:val="001F627E"/>
    <w:rsid w:val="001F69AE"/>
    <w:rsid w:val="001F74CF"/>
    <w:rsid w:val="001F7D68"/>
    <w:rsid w:val="00200686"/>
    <w:rsid w:val="00200CFC"/>
    <w:rsid w:val="00201412"/>
    <w:rsid w:val="00203A36"/>
    <w:rsid w:val="00203D6F"/>
    <w:rsid w:val="00203EBC"/>
    <w:rsid w:val="002058CE"/>
    <w:rsid w:val="002061E3"/>
    <w:rsid w:val="002070E8"/>
    <w:rsid w:val="0020750B"/>
    <w:rsid w:val="00211362"/>
    <w:rsid w:val="00211A3E"/>
    <w:rsid w:val="00215AF8"/>
    <w:rsid w:val="00216382"/>
    <w:rsid w:val="00217E61"/>
    <w:rsid w:val="00220BA5"/>
    <w:rsid w:val="00221561"/>
    <w:rsid w:val="002215F7"/>
    <w:rsid w:val="00221B40"/>
    <w:rsid w:val="00224148"/>
    <w:rsid w:val="002241E0"/>
    <w:rsid w:val="00224903"/>
    <w:rsid w:val="00224FA0"/>
    <w:rsid w:val="0022507D"/>
    <w:rsid w:val="00226526"/>
    <w:rsid w:val="002266C7"/>
    <w:rsid w:val="00226E04"/>
    <w:rsid w:val="002312FA"/>
    <w:rsid w:val="002316AC"/>
    <w:rsid w:val="00232997"/>
    <w:rsid w:val="0023303A"/>
    <w:rsid w:val="00233276"/>
    <w:rsid w:val="0023390B"/>
    <w:rsid w:val="00233B93"/>
    <w:rsid w:val="00234245"/>
    <w:rsid w:val="00234785"/>
    <w:rsid w:val="0023478A"/>
    <w:rsid w:val="00235B2D"/>
    <w:rsid w:val="00240CB0"/>
    <w:rsid w:val="002423B2"/>
    <w:rsid w:val="0024250C"/>
    <w:rsid w:val="00242EA3"/>
    <w:rsid w:val="0024331A"/>
    <w:rsid w:val="00243445"/>
    <w:rsid w:val="00243CB8"/>
    <w:rsid w:val="00244044"/>
    <w:rsid w:val="0024445D"/>
    <w:rsid w:val="00245213"/>
    <w:rsid w:val="00245A8D"/>
    <w:rsid w:val="0024633D"/>
    <w:rsid w:val="0025139E"/>
    <w:rsid w:val="002513A6"/>
    <w:rsid w:val="00252A09"/>
    <w:rsid w:val="00252FE3"/>
    <w:rsid w:val="002548AA"/>
    <w:rsid w:val="00254A83"/>
    <w:rsid w:val="0025598F"/>
    <w:rsid w:val="00255CEC"/>
    <w:rsid w:val="00260EE9"/>
    <w:rsid w:val="00262BFB"/>
    <w:rsid w:val="002632FF"/>
    <w:rsid w:val="00264250"/>
    <w:rsid w:val="00265B65"/>
    <w:rsid w:val="002673CF"/>
    <w:rsid w:val="00270457"/>
    <w:rsid w:val="002713C4"/>
    <w:rsid w:val="00271742"/>
    <w:rsid w:val="00271C5B"/>
    <w:rsid w:val="00271CE4"/>
    <w:rsid w:val="0027254A"/>
    <w:rsid w:val="00273840"/>
    <w:rsid w:val="00274350"/>
    <w:rsid w:val="0027553C"/>
    <w:rsid w:val="00275760"/>
    <w:rsid w:val="00275A83"/>
    <w:rsid w:val="00275E41"/>
    <w:rsid w:val="002760A8"/>
    <w:rsid w:val="00281038"/>
    <w:rsid w:val="00282937"/>
    <w:rsid w:val="00282B7D"/>
    <w:rsid w:val="002834DA"/>
    <w:rsid w:val="00284681"/>
    <w:rsid w:val="0028572F"/>
    <w:rsid w:val="00285971"/>
    <w:rsid w:val="00285E77"/>
    <w:rsid w:val="002864F7"/>
    <w:rsid w:val="00287472"/>
    <w:rsid w:val="00287C0D"/>
    <w:rsid w:val="00291478"/>
    <w:rsid w:val="00291D43"/>
    <w:rsid w:val="00291E67"/>
    <w:rsid w:val="00292131"/>
    <w:rsid w:val="00292E98"/>
    <w:rsid w:val="00293540"/>
    <w:rsid w:val="00293690"/>
    <w:rsid w:val="00293A06"/>
    <w:rsid w:val="00294105"/>
    <w:rsid w:val="002953A5"/>
    <w:rsid w:val="00295A6B"/>
    <w:rsid w:val="0029655B"/>
    <w:rsid w:val="0029675E"/>
    <w:rsid w:val="002A066C"/>
    <w:rsid w:val="002A2208"/>
    <w:rsid w:val="002A32D8"/>
    <w:rsid w:val="002A3DAA"/>
    <w:rsid w:val="002A48E4"/>
    <w:rsid w:val="002A495D"/>
    <w:rsid w:val="002A4F71"/>
    <w:rsid w:val="002A52BB"/>
    <w:rsid w:val="002A5756"/>
    <w:rsid w:val="002A6C3B"/>
    <w:rsid w:val="002A75FB"/>
    <w:rsid w:val="002A77E6"/>
    <w:rsid w:val="002B04BC"/>
    <w:rsid w:val="002B0AB5"/>
    <w:rsid w:val="002B1177"/>
    <w:rsid w:val="002B28B6"/>
    <w:rsid w:val="002B29FF"/>
    <w:rsid w:val="002B2F61"/>
    <w:rsid w:val="002B4717"/>
    <w:rsid w:val="002B521B"/>
    <w:rsid w:val="002B5AA0"/>
    <w:rsid w:val="002B7A75"/>
    <w:rsid w:val="002C0406"/>
    <w:rsid w:val="002C0AC1"/>
    <w:rsid w:val="002C2C7C"/>
    <w:rsid w:val="002C42D0"/>
    <w:rsid w:val="002C68F6"/>
    <w:rsid w:val="002C6E11"/>
    <w:rsid w:val="002C70F3"/>
    <w:rsid w:val="002C7971"/>
    <w:rsid w:val="002D0710"/>
    <w:rsid w:val="002D088B"/>
    <w:rsid w:val="002D24D3"/>
    <w:rsid w:val="002D2D61"/>
    <w:rsid w:val="002D2FDE"/>
    <w:rsid w:val="002D3825"/>
    <w:rsid w:val="002D40D2"/>
    <w:rsid w:val="002D4367"/>
    <w:rsid w:val="002D43E3"/>
    <w:rsid w:val="002D5271"/>
    <w:rsid w:val="002D6AFE"/>
    <w:rsid w:val="002D7C7C"/>
    <w:rsid w:val="002E209E"/>
    <w:rsid w:val="002E2B5D"/>
    <w:rsid w:val="002E3F13"/>
    <w:rsid w:val="002E7B6C"/>
    <w:rsid w:val="002F01FB"/>
    <w:rsid w:val="002F0AD4"/>
    <w:rsid w:val="002F0D8A"/>
    <w:rsid w:val="002F3250"/>
    <w:rsid w:val="002F6602"/>
    <w:rsid w:val="002F6993"/>
    <w:rsid w:val="002F7D77"/>
    <w:rsid w:val="0030067D"/>
    <w:rsid w:val="003009F5"/>
    <w:rsid w:val="00302134"/>
    <w:rsid w:val="0030478A"/>
    <w:rsid w:val="003054AE"/>
    <w:rsid w:val="003057D0"/>
    <w:rsid w:val="00305B25"/>
    <w:rsid w:val="003112F5"/>
    <w:rsid w:val="00311484"/>
    <w:rsid w:val="003132A6"/>
    <w:rsid w:val="003134A9"/>
    <w:rsid w:val="0031367A"/>
    <w:rsid w:val="00314444"/>
    <w:rsid w:val="00315314"/>
    <w:rsid w:val="00315BBA"/>
    <w:rsid w:val="00315F7B"/>
    <w:rsid w:val="00316E6A"/>
    <w:rsid w:val="0031787E"/>
    <w:rsid w:val="00317A38"/>
    <w:rsid w:val="0032009F"/>
    <w:rsid w:val="0032198A"/>
    <w:rsid w:val="00322A6F"/>
    <w:rsid w:val="00323F1B"/>
    <w:rsid w:val="003263C8"/>
    <w:rsid w:val="00327658"/>
    <w:rsid w:val="00330D17"/>
    <w:rsid w:val="00331C56"/>
    <w:rsid w:val="003333E4"/>
    <w:rsid w:val="003336D0"/>
    <w:rsid w:val="00334718"/>
    <w:rsid w:val="003350FF"/>
    <w:rsid w:val="00341062"/>
    <w:rsid w:val="0034141F"/>
    <w:rsid w:val="00341AE4"/>
    <w:rsid w:val="0034325A"/>
    <w:rsid w:val="003447F7"/>
    <w:rsid w:val="003452FD"/>
    <w:rsid w:val="00345301"/>
    <w:rsid w:val="00345371"/>
    <w:rsid w:val="00345EC9"/>
    <w:rsid w:val="003469A0"/>
    <w:rsid w:val="00346CF0"/>
    <w:rsid w:val="00346E3D"/>
    <w:rsid w:val="00350DEC"/>
    <w:rsid w:val="00351351"/>
    <w:rsid w:val="00351C22"/>
    <w:rsid w:val="00360214"/>
    <w:rsid w:val="00360C83"/>
    <w:rsid w:val="00362228"/>
    <w:rsid w:val="00364604"/>
    <w:rsid w:val="00364677"/>
    <w:rsid w:val="00366208"/>
    <w:rsid w:val="00366828"/>
    <w:rsid w:val="003729C1"/>
    <w:rsid w:val="003738AB"/>
    <w:rsid w:val="00373AFB"/>
    <w:rsid w:val="00373E80"/>
    <w:rsid w:val="00375E01"/>
    <w:rsid w:val="00376AD8"/>
    <w:rsid w:val="003802E0"/>
    <w:rsid w:val="0038031C"/>
    <w:rsid w:val="00381571"/>
    <w:rsid w:val="00382D17"/>
    <w:rsid w:val="00386910"/>
    <w:rsid w:val="0039198F"/>
    <w:rsid w:val="0039206E"/>
    <w:rsid w:val="0039294A"/>
    <w:rsid w:val="003945EC"/>
    <w:rsid w:val="0039475E"/>
    <w:rsid w:val="00396359"/>
    <w:rsid w:val="003973FB"/>
    <w:rsid w:val="003976D5"/>
    <w:rsid w:val="00397942"/>
    <w:rsid w:val="003A07C6"/>
    <w:rsid w:val="003A0B22"/>
    <w:rsid w:val="003A0B93"/>
    <w:rsid w:val="003A1A39"/>
    <w:rsid w:val="003A202C"/>
    <w:rsid w:val="003A20AE"/>
    <w:rsid w:val="003A2D5E"/>
    <w:rsid w:val="003A2E98"/>
    <w:rsid w:val="003A30D0"/>
    <w:rsid w:val="003A3638"/>
    <w:rsid w:val="003A4EF5"/>
    <w:rsid w:val="003A58C7"/>
    <w:rsid w:val="003A6D24"/>
    <w:rsid w:val="003A763F"/>
    <w:rsid w:val="003A7942"/>
    <w:rsid w:val="003B0999"/>
    <w:rsid w:val="003B13B1"/>
    <w:rsid w:val="003B20E9"/>
    <w:rsid w:val="003B280A"/>
    <w:rsid w:val="003B3CAA"/>
    <w:rsid w:val="003B3E92"/>
    <w:rsid w:val="003B4D66"/>
    <w:rsid w:val="003B4E8D"/>
    <w:rsid w:val="003B5DC1"/>
    <w:rsid w:val="003B67DF"/>
    <w:rsid w:val="003B761F"/>
    <w:rsid w:val="003C149C"/>
    <w:rsid w:val="003C1779"/>
    <w:rsid w:val="003C1866"/>
    <w:rsid w:val="003C2EE0"/>
    <w:rsid w:val="003C2F5D"/>
    <w:rsid w:val="003C34DB"/>
    <w:rsid w:val="003C39C8"/>
    <w:rsid w:val="003C4167"/>
    <w:rsid w:val="003C4830"/>
    <w:rsid w:val="003C50FC"/>
    <w:rsid w:val="003C5DA2"/>
    <w:rsid w:val="003C6206"/>
    <w:rsid w:val="003C67FF"/>
    <w:rsid w:val="003C74EE"/>
    <w:rsid w:val="003C7C36"/>
    <w:rsid w:val="003D1DD8"/>
    <w:rsid w:val="003D2170"/>
    <w:rsid w:val="003D2C21"/>
    <w:rsid w:val="003D364F"/>
    <w:rsid w:val="003D4450"/>
    <w:rsid w:val="003D755A"/>
    <w:rsid w:val="003D7AE4"/>
    <w:rsid w:val="003E0890"/>
    <w:rsid w:val="003E08A3"/>
    <w:rsid w:val="003E0FB8"/>
    <w:rsid w:val="003E1547"/>
    <w:rsid w:val="003E3167"/>
    <w:rsid w:val="003E38F5"/>
    <w:rsid w:val="003E479D"/>
    <w:rsid w:val="003E4EDF"/>
    <w:rsid w:val="003E52B2"/>
    <w:rsid w:val="003E64F4"/>
    <w:rsid w:val="003E68D1"/>
    <w:rsid w:val="003E7CCE"/>
    <w:rsid w:val="003F0A06"/>
    <w:rsid w:val="003F1914"/>
    <w:rsid w:val="003F1D8B"/>
    <w:rsid w:val="003F5728"/>
    <w:rsid w:val="003F615D"/>
    <w:rsid w:val="003F72E8"/>
    <w:rsid w:val="003F763A"/>
    <w:rsid w:val="003F7B9A"/>
    <w:rsid w:val="003F7BE6"/>
    <w:rsid w:val="0040004B"/>
    <w:rsid w:val="00401073"/>
    <w:rsid w:val="004012A0"/>
    <w:rsid w:val="00401954"/>
    <w:rsid w:val="00401ED6"/>
    <w:rsid w:val="004023A4"/>
    <w:rsid w:val="00402533"/>
    <w:rsid w:val="00402FB3"/>
    <w:rsid w:val="00403C5C"/>
    <w:rsid w:val="00404DC0"/>
    <w:rsid w:val="00404FF1"/>
    <w:rsid w:val="004054E6"/>
    <w:rsid w:val="004066B0"/>
    <w:rsid w:val="00407868"/>
    <w:rsid w:val="0041012F"/>
    <w:rsid w:val="00411D4C"/>
    <w:rsid w:val="0041203D"/>
    <w:rsid w:val="00412318"/>
    <w:rsid w:val="00412A1B"/>
    <w:rsid w:val="00412A34"/>
    <w:rsid w:val="00412C4D"/>
    <w:rsid w:val="00412CB3"/>
    <w:rsid w:val="00414FEF"/>
    <w:rsid w:val="004156EF"/>
    <w:rsid w:val="00415F60"/>
    <w:rsid w:val="00416306"/>
    <w:rsid w:val="00416479"/>
    <w:rsid w:val="004201A3"/>
    <w:rsid w:val="004206AA"/>
    <w:rsid w:val="00421422"/>
    <w:rsid w:val="00421548"/>
    <w:rsid w:val="00421B6A"/>
    <w:rsid w:val="00421D48"/>
    <w:rsid w:val="00423615"/>
    <w:rsid w:val="00426A14"/>
    <w:rsid w:val="00427E2F"/>
    <w:rsid w:val="00430A22"/>
    <w:rsid w:val="004311E6"/>
    <w:rsid w:val="00431F56"/>
    <w:rsid w:val="004325F7"/>
    <w:rsid w:val="0043299B"/>
    <w:rsid w:val="004329A2"/>
    <w:rsid w:val="00433B94"/>
    <w:rsid w:val="0043461C"/>
    <w:rsid w:val="0043573C"/>
    <w:rsid w:val="004360C9"/>
    <w:rsid w:val="0043636A"/>
    <w:rsid w:val="004367F8"/>
    <w:rsid w:val="00437354"/>
    <w:rsid w:val="004406F1"/>
    <w:rsid w:val="0044265B"/>
    <w:rsid w:val="00442DC0"/>
    <w:rsid w:val="004431BA"/>
    <w:rsid w:val="00443308"/>
    <w:rsid w:val="00443E90"/>
    <w:rsid w:val="00444302"/>
    <w:rsid w:val="00444BE2"/>
    <w:rsid w:val="00445098"/>
    <w:rsid w:val="004470C8"/>
    <w:rsid w:val="00450696"/>
    <w:rsid w:val="004517F3"/>
    <w:rsid w:val="00451903"/>
    <w:rsid w:val="00451918"/>
    <w:rsid w:val="00451FF3"/>
    <w:rsid w:val="00452544"/>
    <w:rsid w:val="004528F7"/>
    <w:rsid w:val="00453B2C"/>
    <w:rsid w:val="00453D12"/>
    <w:rsid w:val="004545E4"/>
    <w:rsid w:val="0045631A"/>
    <w:rsid w:val="004565DD"/>
    <w:rsid w:val="004566DA"/>
    <w:rsid w:val="00456B8E"/>
    <w:rsid w:val="00457C7B"/>
    <w:rsid w:val="00461158"/>
    <w:rsid w:val="00461774"/>
    <w:rsid w:val="00461F73"/>
    <w:rsid w:val="004620A6"/>
    <w:rsid w:val="00462656"/>
    <w:rsid w:val="00463E35"/>
    <w:rsid w:val="00465C80"/>
    <w:rsid w:val="00465F3B"/>
    <w:rsid w:val="004674FE"/>
    <w:rsid w:val="0047128A"/>
    <w:rsid w:val="00472091"/>
    <w:rsid w:val="004720E3"/>
    <w:rsid w:val="0047235E"/>
    <w:rsid w:val="0047287B"/>
    <w:rsid w:val="00472F9D"/>
    <w:rsid w:val="00473532"/>
    <w:rsid w:val="0047473A"/>
    <w:rsid w:val="00475AE0"/>
    <w:rsid w:val="00475FE6"/>
    <w:rsid w:val="00476084"/>
    <w:rsid w:val="00476B0E"/>
    <w:rsid w:val="00477B93"/>
    <w:rsid w:val="0048024C"/>
    <w:rsid w:val="00480840"/>
    <w:rsid w:val="00480E6D"/>
    <w:rsid w:val="00482291"/>
    <w:rsid w:val="004827DC"/>
    <w:rsid w:val="00484011"/>
    <w:rsid w:val="004844A9"/>
    <w:rsid w:val="004867E6"/>
    <w:rsid w:val="0048690C"/>
    <w:rsid w:val="00486C06"/>
    <w:rsid w:val="004871BB"/>
    <w:rsid w:val="004903E4"/>
    <w:rsid w:val="00491968"/>
    <w:rsid w:val="00491B14"/>
    <w:rsid w:val="00491C8C"/>
    <w:rsid w:val="0049268F"/>
    <w:rsid w:val="00492AB5"/>
    <w:rsid w:val="00492F6D"/>
    <w:rsid w:val="004945F7"/>
    <w:rsid w:val="00494681"/>
    <w:rsid w:val="004956FE"/>
    <w:rsid w:val="00495DE5"/>
    <w:rsid w:val="00495F10"/>
    <w:rsid w:val="00496421"/>
    <w:rsid w:val="00497BA7"/>
    <w:rsid w:val="004A0B84"/>
    <w:rsid w:val="004A183B"/>
    <w:rsid w:val="004A2016"/>
    <w:rsid w:val="004A224F"/>
    <w:rsid w:val="004A2919"/>
    <w:rsid w:val="004A42B2"/>
    <w:rsid w:val="004A4D62"/>
    <w:rsid w:val="004A51F5"/>
    <w:rsid w:val="004A5F73"/>
    <w:rsid w:val="004A66EC"/>
    <w:rsid w:val="004A7616"/>
    <w:rsid w:val="004B26B7"/>
    <w:rsid w:val="004B2937"/>
    <w:rsid w:val="004B3213"/>
    <w:rsid w:val="004B3728"/>
    <w:rsid w:val="004B3D85"/>
    <w:rsid w:val="004B3ED2"/>
    <w:rsid w:val="004B3FB2"/>
    <w:rsid w:val="004B3FE5"/>
    <w:rsid w:val="004B41BC"/>
    <w:rsid w:val="004B461D"/>
    <w:rsid w:val="004B64C9"/>
    <w:rsid w:val="004B6B6E"/>
    <w:rsid w:val="004B6CE3"/>
    <w:rsid w:val="004B6D48"/>
    <w:rsid w:val="004B7B4C"/>
    <w:rsid w:val="004B7E33"/>
    <w:rsid w:val="004C0026"/>
    <w:rsid w:val="004C0816"/>
    <w:rsid w:val="004C107D"/>
    <w:rsid w:val="004C1A81"/>
    <w:rsid w:val="004C3074"/>
    <w:rsid w:val="004C3218"/>
    <w:rsid w:val="004C48FC"/>
    <w:rsid w:val="004C4BAC"/>
    <w:rsid w:val="004C5955"/>
    <w:rsid w:val="004C5A72"/>
    <w:rsid w:val="004C6A78"/>
    <w:rsid w:val="004C6BDB"/>
    <w:rsid w:val="004C6E3C"/>
    <w:rsid w:val="004C7BA2"/>
    <w:rsid w:val="004D0A2E"/>
    <w:rsid w:val="004D1B3D"/>
    <w:rsid w:val="004D298C"/>
    <w:rsid w:val="004D3B3A"/>
    <w:rsid w:val="004D4B53"/>
    <w:rsid w:val="004D57C9"/>
    <w:rsid w:val="004D6351"/>
    <w:rsid w:val="004D642C"/>
    <w:rsid w:val="004D7C62"/>
    <w:rsid w:val="004E0B3A"/>
    <w:rsid w:val="004E1554"/>
    <w:rsid w:val="004E1C8E"/>
    <w:rsid w:val="004E1E6F"/>
    <w:rsid w:val="004E215C"/>
    <w:rsid w:val="004E219A"/>
    <w:rsid w:val="004E2FB6"/>
    <w:rsid w:val="004E3A19"/>
    <w:rsid w:val="004E3E64"/>
    <w:rsid w:val="004E5BFB"/>
    <w:rsid w:val="004E692E"/>
    <w:rsid w:val="004E6A44"/>
    <w:rsid w:val="004E7026"/>
    <w:rsid w:val="004E792B"/>
    <w:rsid w:val="004E7CC0"/>
    <w:rsid w:val="004F2BD6"/>
    <w:rsid w:val="004F3316"/>
    <w:rsid w:val="004F429F"/>
    <w:rsid w:val="004F4659"/>
    <w:rsid w:val="004F4CF0"/>
    <w:rsid w:val="004F516C"/>
    <w:rsid w:val="004F5FB4"/>
    <w:rsid w:val="004F7DFB"/>
    <w:rsid w:val="005012A2"/>
    <w:rsid w:val="0050295D"/>
    <w:rsid w:val="00503E06"/>
    <w:rsid w:val="00503EA6"/>
    <w:rsid w:val="005040CF"/>
    <w:rsid w:val="00504991"/>
    <w:rsid w:val="00504D89"/>
    <w:rsid w:val="0050524B"/>
    <w:rsid w:val="00506205"/>
    <w:rsid w:val="00506AA3"/>
    <w:rsid w:val="00506C76"/>
    <w:rsid w:val="0050765A"/>
    <w:rsid w:val="00507A36"/>
    <w:rsid w:val="00507EA4"/>
    <w:rsid w:val="0051010E"/>
    <w:rsid w:val="00512746"/>
    <w:rsid w:val="00512DA9"/>
    <w:rsid w:val="00513A2E"/>
    <w:rsid w:val="00513BC5"/>
    <w:rsid w:val="00513DD5"/>
    <w:rsid w:val="00514CDA"/>
    <w:rsid w:val="00514DBA"/>
    <w:rsid w:val="00514E09"/>
    <w:rsid w:val="00515198"/>
    <w:rsid w:val="005156F6"/>
    <w:rsid w:val="005174EB"/>
    <w:rsid w:val="00517986"/>
    <w:rsid w:val="00517EBD"/>
    <w:rsid w:val="00520294"/>
    <w:rsid w:val="00522349"/>
    <w:rsid w:val="00522A95"/>
    <w:rsid w:val="00524DF0"/>
    <w:rsid w:val="00525733"/>
    <w:rsid w:val="00526B46"/>
    <w:rsid w:val="00527D6B"/>
    <w:rsid w:val="00527FE3"/>
    <w:rsid w:val="00531211"/>
    <w:rsid w:val="00531A0B"/>
    <w:rsid w:val="00531B3E"/>
    <w:rsid w:val="00532045"/>
    <w:rsid w:val="00532E82"/>
    <w:rsid w:val="005348EB"/>
    <w:rsid w:val="00534930"/>
    <w:rsid w:val="005359B4"/>
    <w:rsid w:val="00535E81"/>
    <w:rsid w:val="00537801"/>
    <w:rsid w:val="005402CC"/>
    <w:rsid w:val="00540CB0"/>
    <w:rsid w:val="00540CDE"/>
    <w:rsid w:val="0054121A"/>
    <w:rsid w:val="00542282"/>
    <w:rsid w:val="005438C4"/>
    <w:rsid w:val="0054401B"/>
    <w:rsid w:val="00544703"/>
    <w:rsid w:val="00544EDE"/>
    <w:rsid w:val="00546339"/>
    <w:rsid w:val="005465D9"/>
    <w:rsid w:val="00546D3F"/>
    <w:rsid w:val="00546F8A"/>
    <w:rsid w:val="005476FC"/>
    <w:rsid w:val="00550D56"/>
    <w:rsid w:val="00550D57"/>
    <w:rsid w:val="0055172C"/>
    <w:rsid w:val="0055283A"/>
    <w:rsid w:val="00553508"/>
    <w:rsid w:val="00554DD3"/>
    <w:rsid w:val="00557EA5"/>
    <w:rsid w:val="00557F41"/>
    <w:rsid w:val="005601C7"/>
    <w:rsid w:val="00561A4C"/>
    <w:rsid w:val="00561ACE"/>
    <w:rsid w:val="00563593"/>
    <w:rsid w:val="0056395D"/>
    <w:rsid w:val="00563E84"/>
    <w:rsid w:val="00563FB2"/>
    <w:rsid w:val="00564ED0"/>
    <w:rsid w:val="00564F8A"/>
    <w:rsid w:val="005672E1"/>
    <w:rsid w:val="005673AE"/>
    <w:rsid w:val="005676FD"/>
    <w:rsid w:val="005733F0"/>
    <w:rsid w:val="005734B0"/>
    <w:rsid w:val="0057362A"/>
    <w:rsid w:val="005746F7"/>
    <w:rsid w:val="00574F54"/>
    <w:rsid w:val="005752D3"/>
    <w:rsid w:val="0057565E"/>
    <w:rsid w:val="0057612A"/>
    <w:rsid w:val="00576615"/>
    <w:rsid w:val="0057747B"/>
    <w:rsid w:val="005777BA"/>
    <w:rsid w:val="005805FC"/>
    <w:rsid w:val="005807E7"/>
    <w:rsid w:val="00581DBC"/>
    <w:rsid w:val="00582A3A"/>
    <w:rsid w:val="00583336"/>
    <w:rsid w:val="005833B9"/>
    <w:rsid w:val="0058458E"/>
    <w:rsid w:val="00584CF1"/>
    <w:rsid w:val="00585F1E"/>
    <w:rsid w:val="0059054B"/>
    <w:rsid w:val="005907D0"/>
    <w:rsid w:val="005915D0"/>
    <w:rsid w:val="00592FA5"/>
    <w:rsid w:val="005940B1"/>
    <w:rsid w:val="00594203"/>
    <w:rsid w:val="00594446"/>
    <w:rsid w:val="005944A1"/>
    <w:rsid w:val="0059469C"/>
    <w:rsid w:val="00594D46"/>
    <w:rsid w:val="0059673D"/>
    <w:rsid w:val="00597278"/>
    <w:rsid w:val="00597D26"/>
    <w:rsid w:val="005A0582"/>
    <w:rsid w:val="005A104A"/>
    <w:rsid w:val="005A196C"/>
    <w:rsid w:val="005A2B48"/>
    <w:rsid w:val="005A3E05"/>
    <w:rsid w:val="005A6245"/>
    <w:rsid w:val="005A6511"/>
    <w:rsid w:val="005A6E7F"/>
    <w:rsid w:val="005A72E6"/>
    <w:rsid w:val="005B0399"/>
    <w:rsid w:val="005B10DD"/>
    <w:rsid w:val="005B1C0B"/>
    <w:rsid w:val="005B52AA"/>
    <w:rsid w:val="005B537F"/>
    <w:rsid w:val="005B6481"/>
    <w:rsid w:val="005B6B46"/>
    <w:rsid w:val="005B7C04"/>
    <w:rsid w:val="005C13C6"/>
    <w:rsid w:val="005C1ADE"/>
    <w:rsid w:val="005C1F93"/>
    <w:rsid w:val="005C26FF"/>
    <w:rsid w:val="005C291B"/>
    <w:rsid w:val="005C2DB3"/>
    <w:rsid w:val="005C3537"/>
    <w:rsid w:val="005C36F7"/>
    <w:rsid w:val="005C3A99"/>
    <w:rsid w:val="005C4310"/>
    <w:rsid w:val="005C4329"/>
    <w:rsid w:val="005C45DF"/>
    <w:rsid w:val="005C4707"/>
    <w:rsid w:val="005C55A9"/>
    <w:rsid w:val="005C5ABF"/>
    <w:rsid w:val="005C5F0A"/>
    <w:rsid w:val="005C6D65"/>
    <w:rsid w:val="005C7188"/>
    <w:rsid w:val="005D2164"/>
    <w:rsid w:val="005D2DD7"/>
    <w:rsid w:val="005D31FA"/>
    <w:rsid w:val="005D4513"/>
    <w:rsid w:val="005D4C33"/>
    <w:rsid w:val="005D4F1E"/>
    <w:rsid w:val="005D5266"/>
    <w:rsid w:val="005D7408"/>
    <w:rsid w:val="005E06F7"/>
    <w:rsid w:val="005E36A2"/>
    <w:rsid w:val="005E5CD5"/>
    <w:rsid w:val="005E5F52"/>
    <w:rsid w:val="005E5F9C"/>
    <w:rsid w:val="005E6091"/>
    <w:rsid w:val="005E7E84"/>
    <w:rsid w:val="005F0E74"/>
    <w:rsid w:val="005F1D1E"/>
    <w:rsid w:val="005F2C71"/>
    <w:rsid w:val="005F39CB"/>
    <w:rsid w:val="005F562C"/>
    <w:rsid w:val="005F609D"/>
    <w:rsid w:val="005F6515"/>
    <w:rsid w:val="005F6EB0"/>
    <w:rsid w:val="005F6F86"/>
    <w:rsid w:val="005F7E56"/>
    <w:rsid w:val="0060047D"/>
    <w:rsid w:val="00600914"/>
    <w:rsid w:val="00600D49"/>
    <w:rsid w:val="00601322"/>
    <w:rsid w:val="006034E7"/>
    <w:rsid w:val="00603EB5"/>
    <w:rsid w:val="006061F0"/>
    <w:rsid w:val="006068A5"/>
    <w:rsid w:val="006078EC"/>
    <w:rsid w:val="00610295"/>
    <w:rsid w:val="0061030E"/>
    <w:rsid w:val="00610929"/>
    <w:rsid w:val="00610C05"/>
    <w:rsid w:val="0061170A"/>
    <w:rsid w:val="0061249A"/>
    <w:rsid w:val="00612752"/>
    <w:rsid w:val="00612939"/>
    <w:rsid w:val="0061345E"/>
    <w:rsid w:val="0061559E"/>
    <w:rsid w:val="00615879"/>
    <w:rsid w:val="00615D2F"/>
    <w:rsid w:val="00616CF3"/>
    <w:rsid w:val="00617AD4"/>
    <w:rsid w:val="00617F59"/>
    <w:rsid w:val="00617F64"/>
    <w:rsid w:val="006201F6"/>
    <w:rsid w:val="00621175"/>
    <w:rsid w:val="00622411"/>
    <w:rsid w:val="006241C4"/>
    <w:rsid w:val="00624F72"/>
    <w:rsid w:val="00624FC3"/>
    <w:rsid w:val="00625C6E"/>
    <w:rsid w:val="006262BA"/>
    <w:rsid w:val="0062646A"/>
    <w:rsid w:val="006266F2"/>
    <w:rsid w:val="0062727E"/>
    <w:rsid w:val="006303B6"/>
    <w:rsid w:val="006304EB"/>
    <w:rsid w:val="00630829"/>
    <w:rsid w:val="00632162"/>
    <w:rsid w:val="00632573"/>
    <w:rsid w:val="0063425E"/>
    <w:rsid w:val="006347CB"/>
    <w:rsid w:val="00635428"/>
    <w:rsid w:val="00635F62"/>
    <w:rsid w:val="00636EC8"/>
    <w:rsid w:val="0063724B"/>
    <w:rsid w:val="00637C4A"/>
    <w:rsid w:val="00637E67"/>
    <w:rsid w:val="0064160F"/>
    <w:rsid w:val="0064218C"/>
    <w:rsid w:val="0064287B"/>
    <w:rsid w:val="00642E1B"/>
    <w:rsid w:val="006430A4"/>
    <w:rsid w:val="006431F0"/>
    <w:rsid w:val="00643F47"/>
    <w:rsid w:val="00646EBA"/>
    <w:rsid w:val="00647820"/>
    <w:rsid w:val="00647D81"/>
    <w:rsid w:val="00650E48"/>
    <w:rsid w:val="00651370"/>
    <w:rsid w:val="00651D9D"/>
    <w:rsid w:val="00651F41"/>
    <w:rsid w:val="00652AFC"/>
    <w:rsid w:val="00653371"/>
    <w:rsid w:val="00653F60"/>
    <w:rsid w:val="00654919"/>
    <w:rsid w:val="00656615"/>
    <w:rsid w:val="006568BD"/>
    <w:rsid w:val="00657938"/>
    <w:rsid w:val="00660267"/>
    <w:rsid w:val="0066093C"/>
    <w:rsid w:val="00660B94"/>
    <w:rsid w:val="00660BEE"/>
    <w:rsid w:val="00662A78"/>
    <w:rsid w:val="00662F44"/>
    <w:rsid w:val="00664E6F"/>
    <w:rsid w:val="00665442"/>
    <w:rsid w:val="00665798"/>
    <w:rsid w:val="006659EB"/>
    <w:rsid w:val="006664C0"/>
    <w:rsid w:val="00667689"/>
    <w:rsid w:val="006676C8"/>
    <w:rsid w:val="00667896"/>
    <w:rsid w:val="00670BC3"/>
    <w:rsid w:val="00671401"/>
    <w:rsid w:val="00671469"/>
    <w:rsid w:val="00671CA1"/>
    <w:rsid w:val="006720E5"/>
    <w:rsid w:val="00672F35"/>
    <w:rsid w:val="00673CE1"/>
    <w:rsid w:val="00676980"/>
    <w:rsid w:val="00676E97"/>
    <w:rsid w:val="0067794B"/>
    <w:rsid w:val="006806FD"/>
    <w:rsid w:val="00681E39"/>
    <w:rsid w:val="006823DA"/>
    <w:rsid w:val="00682992"/>
    <w:rsid w:val="00682D9E"/>
    <w:rsid w:val="00683448"/>
    <w:rsid w:val="00683C5D"/>
    <w:rsid w:val="006874D2"/>
    <w:rsid w:val="0068756A"/>
    <w:rsid w:val="00687AD5"/>
    <w:rsid w:val="00690F6A"/>
    <w:rsid w:val="006912D3"/>
    <w:rsid w:val="00691A1B"/>
    <w:rsid w:val="00692046"/>
    <w:rsid w:val="0069254D"/>
    <w:rsid w:val="006926AA"/>
    <w:rsid w:val="00693E84"/>
    <w:rsid w:val="00694F15"/>
    <w:rsid w:val="006968CF"/>
    <w:rsid w:val="00696EA3"/>
    <w:rsid w:val="0069710A"/>
    <w:rsid w:val="006978B9"/>
    <w:rsid w:val="006A0DF1"/>
    <w:rsid w:val="006A15E9"/>
    <w:rsid w:val="006A2303"/>
    <w:rsid w:val="006A3482"/>
    <w:rsid w:val="006A3B82"/>
    <w:rsid w:val="006A401E"/>
    <w:rsid w:val="006B0311"/>
    <w:rsid w:val="006B062D"/>
    <w:rsid w:val="006B0A9C"/>
    <w:rsid w:val="006B0C48"/>
    <w:rsid w:val="006B10AD"/>
    <w:rsid w:val="006B13DD"/>
    <w:rsid w:val="006B14FA"/>
    <w:rsid w:val="006B26D3"/>
    <w:rsid w:val="006B2D8E"/>
    <w:rsid w:val="006B3DCF"/>
    <w:rsid w:val="006B4049"/>
    <w:rsid w:val="006B4167"/>
    <w:rsid w:val="006B4D52"/>
    <w:rsid w:val="006B53FF"/>
    <w:rsid w:val="006B5D68"/>
    <w:rsid w:val="006C0B84"/>
    <w:rsid w:val="006C1863"/>
    <w:rsid w:val="006C1D6A"/>
    <w:rsid w:val="006C1F31"/>
    <w:rsid w:val="006C2167"/>
    <w:rsid w:val="006C30E3"/>
    <w:rsid w:val="006C3545"/>
    <w:rsid w:val="006C5625"/>
    <w:rsid w:val="006C617D"/>
    <w:rsid w:val="006C6F7D"/>
    <w:rsid w:val="006C752F"/>
    <w:rsid w:val="006D0DD9"/>
    <w:rsid w:val="006D15F1"/>
    <w:rsid w:val="006D2FDB"/>
    <w:rsid w:val="006D31D7"/>
    <w:rsid w:val="006D3EFE"/>
    <w:rsid w:val="006D4121"/>
    <w:rsid w:val="006D4F00"/>
    <w:rsid w:val="006D5950"/>
    <w:rsid w:val="006D5F0F"/>
    <w:rsid w:val="006D6BC2"/>
    <w:rsid w:val="006D6D0F"/>
    <w:rsid w:val="006D6E15"/>
    <w:rsid w:val="006D7457"/>
    <w:rsid w:val="006E1527"/>
    <w:rsid w:val="006E19A6"/>
    <w:rsid w:val="006E1B1C"/>
    <w:rsid w:val="006E2955"/>
    <w:rsid w:val="006E3858"/>
    <w:rsid w:val="006E4336"/>
    <w:rsid w:val="006E4758"/>
    <w:rsid w:val="006E48FB"/>
    <w:rsid w:val="006E53C6"/>
    <w:rsid w:val="006E5421"/>
    <w:rsid w:val="006E56B9"/>
    <w:rsid w:val="006E66BA"/>
    <w:rsid w:val="006E6A06"/>
    <w:rsid w:val="006E6B2F"/>
    <w:rsid w:val="006E71F7"/>
    <w:rsid w:val="006E7EC0"/>
    <w:rsid w:val="006F2BA0"/>
    <w:rsid w:val="006F2C17"/>
    <w:rsid w:val="006F33E9"/>
    <w:rsid w:val="006F35E4"/>
    <w:rsid w:val="006F4946"/>
    <w:rsid w:val="006F4FFD"/>
    <w:rsid w:val="006F5AB4"/>
    <w:rsid w:val="006F79D2"/>
    <w:rsid w:val="00700905"/>
    <w:rsid w:val="007053B5"/>
    <w:rsid w:val="007057D2"/>
    <w:rsid w:val="0070581B"/>
    <w:rsid w:val="0070641C"/>
    <w:rsid w:val="00706CE2"/>
    <w:rsid w:val="0070758F"/>
    <w:rsid w:val="007075E1"/>
    <w:rsid w:val="0070763B"/>
    <w:rsid w:val="007079C4"/>
    <w:rsid w:val="00710199"/>
    <w:rsid w:val="007112D6"/>
    <w:rsid w:val="00711706"/>
    <w:rsid w:val="00713057"/>
    <w:rsid w:val="00713CC4"/>
    <w:rsid w:val="00714C12"/>
    <w:rsid w:val="00715E13"/>
    <w:rsid w:val="007165BA"/>
    <w:rsid w:val="0071669F"/>
    <w:rsid w:val="007205F2"/>
    <w:rsid w:val="007216A0"/>
    <w:rsid w:val="007236F7"/>
    <w:rsid w:val="007239E2"/>
    <w:rsid w:val="007244B1"/>
    <w:rsid w:val="007255BF"/>
    <w:rsid w:val="00725891"/>
    <w:rsid w:val="00725E55"/>
    <w:rsid w:val="007269BC"/>
    <w:rsid w:val="00726AB7"/>
    <w:rsid w:val="0072719E"/>
    <w:rsid w:val="007274BD"/>
    <w:rsid w:val="00727FFE"/>
    <w:rsid w:val="007306AF"/>
    <w:rsid w:val="00730973"/>
    <w:rsid w:val="00731EB7"/>
    <w:rsid w:val="007321C8"/>
    <w:rsid w:val="00732404"/>
    <w:rsid w:val="00732560"/>
    <w:rsid w:val="00732DBD"/>
    <w:rsid w:val="00733445"/>
    <w:rsid w:val="00733E2F"/>
    <w:rsid w:val="00733F74"/>
    <w:rsid w:val="00734D50"/>
    <w:rsid w:val="0073560E"/>
    <w:rsid w:val="007363DF"/>
    <w:rsid w:val="007363E5"/>
    <w:rsid w:val="00736403"/>
    <w:rsid w:val="00736BB5"/>
    <w:rsid w:val="007375AC"/>
    <w:rsid w:val="0074023B"/>
    <w:rsid w:val="00741F95"/>
    <w:rsid w:val="007423AE"/>
    <w:rsid w:val="00743EE8"/>
    <w:rsid w:val="007441D8"/>
    <w:rsid w:val="007446EB"/>
    <w:rsid w:val="00744B79"/>
    <w:rsid w:val="00744DC0"/>
    <w:rsid w:val="00744F8C"/>
    <w:rsid w:val="00745043"/>
    <w:rsid w:val="00746059"/>
    <w:rsid w:val="0074792F"/>
    <w:rsid w:val="007479D0"/>
    <w:rsid w:val="007509AF"/>
    <w:rsid w:val="00754181"/>
    <w:rsid w:val="007549C6"/>
    <w:rsid w:val="00755E71"/>
    <w:rsid w:val="00756394"/>
    <w:rsid w:val="00756BBA"/>
    <w:rsid w:val="00756CE3"/>
    <w:rsid w:val="007570D4"/>
    <w:rsid w:val="00757239"/>
    <w:rsid w:val="00757268"/>
    <w:rsid w:val="00757713"/>
    <w:rsid w:val="007620E0"/>
    <w:rsid w:val="00762711"/>
    <w:rsid w:val="007630DA"/>
    <w:rsid w:val="0076348B"/>
    <w:rsid w:val="00763BD1"/>
    <w:rsid w:val="00764BE5"/>
    <w:rsid w:val="007654CB"/>
    <w:rsid w:val="0076590B"/>
    <w:rsid w:val="007661BA"/>
    <w:rsid w:val="00766264"/>
    <w:rsid w:val="00766313"/>
    <w:rsid w:val="00767760"/>
    <w:rsid w:val="007703F7"/>
    <w:rsid w:val="00770A05"/>
    <w:rsid w:val="00770AD8"/>
    <w:rsid w:val="00771201"/>
    <w:rsid w:val="00771E03"/>
    <w:rsid w:val="00772D3F"/>
    <w:rsid w:val="00772D4A"/>
    <w:rsid w:val="007748C0"/>
    <w:rsid w:val="00774C65"/>
    <w:rsid w:val="00775C2B"/>
    <w:rsid w:val="007760E8"/>
    <w:rsid w:val="00776B3F"/>
    <w:rsid w:val="00776F9E"/>
    <w:rsid w:val="00777ACD"/>
    <w:rsid w:val="00780C6F"/>
    <w:rsid w:val="00781B83"/>
    <w:rsid w:val="00781BC1"/>
    <w:rsid w:val="00781F16"/>
    <w:rsid w:val="0078252E"/>
    <w:rsid w:val="00783534"/>
    <w:rsid w:val="00783657"/>
    <w:rsid w:val="00783C82"/>
    <w:rsid w:val="00783DB5"/>
    <w:rsid w:val="007840A6"/>
    <w:rsid w:val="007847A1"/>
    <w:rsid w:val="00784802"/>
    <w:rsid w:val="00784BFE"/>
    <w:rsid w:val="007856AC"/>
    <w:rsid w:val="00790A2B"/>
    <w:rsid w:val="00791782"/>
    <w:rsid w:val="00791E10"/>
    <w:rsid w:val="007934E7"/>
    <w:rsid w:val="00793E17"/>
    <w:rsid w:val="00793F91"/>
    <w:rsid w:val="00794EBE"/>
    <w:rsid w:val="00795439"/>
    <w:rsid w:val="0079594E"/>
    <w:rsid w:val="00796325"/>
    <w:rsid w:val="007972E4"/>
    <w:rsid w:val="0079735B"/>
    <w:rsid w:val="00797A26"/>
    <w:rsid w:val="00797F36"/>
    <w:rsid w:val="007A0607"/>
    <w:rsid w:val="007A0E09"/>
    <w:rsid w:val="007A3EAF"/>
    <w:rsid w:val="007A57CA"/>
    <w:rsid w:val="007A6168"/>
    <w:rsid w:val="007A706D"/>
    <w:rsid w:val="007A7388"/>
    <w:rsid w:val="007A75B6"/>
    <w:rsid w:val="007A75F1"/>
    <w:rsid w:val="007B106F"/>
    <w:rsid w:val="007B28DD"/>
    <w:rsid w:val="007B29D2"/>
    <w:rsid w:val="007B29E9"/>
    <w:rsid w:val="007B3A8C"/>
    <w:rsid w:val="007B3C4B"/>
    <w:rsid w:val="007B440F"/>
    <w:rsid w:val="007B4524"/>
    <w:rsid w:val="007B4829"/>
    <w:rsid w:val="007B4E80"/>
    <w:rsid w:val="007B5019"/>
    <w:rsid w:val="007B5FBD"/>
    <w:rsid w:val="007B6C29"/>
    <w:rsid w:val="007B7455"/>
    <w:rsid w:val="007B79B6"/>
    <w:rsid w:val="007B7EF4"/>
    <w:rsid w:val="007C15D4"/>
    <w:rsid w:val="007C22BD"/>
    <w:rsid w:val="007C2307"/>
    <w:rsid w:val="007C2765"/>
    <w:rsid w:val="007C3252"/>
    <w:rsid w:val="007C3AF9"/>
    <w:rsid w:val="007C4445"/>
    <w:rsid w:val="007C459C"/>
    <w:rsid w:val="007C55AF"/>
    <w:rsid w:val="007C5835"/>
    <w:rsid w:val="007C5DBF"/>
    <w:rsid w:val="007C6E56"/>
    <w:rsid w:val="007D00A8"/>
    <w:rsid w:val="007D0694"/>
    <w:rsid w:val="007D2161"/>
    <w:rsid w:val="007D21A6"/>
    <w:rsid w:val="007D2B89"/>
    <w:rsid w:val="007D3A2F"/>
    <w:rsid w:val="007D4401"/>
    <w:rsid w:val="007D5A4F"/>
    <w:rsid w:val="007D7340"/>
    <w:rsid w:val="007D7826"/>
    <w:rsid w:val="007D7A84"/>
    <w:rsid w:val="007E03B1"/>
    <w:rsid w:val="007E0548"/>
    <w:rsid w:val="007E0762"/>
    <w:rsid w:val="007E1CBB"/>
    <w:rsid w:val="007E1DD4"/>
    <w:rsid w:val="007E2A31"/>
    <w:rsid w:val="007E30A0"/>
    <w:rsid w:val="007E3232"/>
    <w:rsid w:val="007E548E"/>
    <w:rsid w:val="007E6FC4"/>
    <w:rsid w:val="007E7069"/>
    <w:rsid w:val="007E7DB5"/>
    <w:rsid w:val="007F17CB"/>
    <w:rsid w:val="007F24D8"/>
    <w:rsid w:val="007F3761"/>
    <w:rsid w:val="007F4154"/>
    <w:rsid w:val="007F4F4E"/>
    <w:rsid w:val="007F56EC"/>
    <w:rsid w:val="007F707A"/>
    <w:rsid w:val="008008C5"/>
    <w:rsid w:val="00801F32"/>
    <w:rsid w:val="0080458D"/>
    <w:rsid w:val="00804983"/>
    <w:rsid w:val="008052CA"/>
    <w:rsid w:val="00805BEB"/>
    <w:rsid w:val="00805E0E"/>
    <w:rsid w:val="00807094"/>
    <w:rsid w:val="00807F62"/>
    <w:rsid w:val="008102D4"/>
    <w:rsid w:val="00810994"/>
    <w:rsid w:val="00810C84"/>
    <w:rsid w:val="00813196"/>
    <w:rsid w:val="008131AD"/>
    <w:rsid w:val="008132FB"/>
    <w:rsid w:val="00813715"/>
    <w:rsid w:val="00813981"/>
    <w:rsid w:val="00813B00"/>
    <w:rsid w:val="0081425A"/>
    <w:rsid w:val="00815F15"/>
    <w:rsid w:val="00816255"/>
    <w:rsid w:val="00816C90"/>
    <w:rsid w:val="00816DF8"/>
    <w:rsid w:val="00816E83"/>
    <w:rsid w:val="00816E99"/>
    <w:rsid w:val="00817C5F"/>
    <w:rsid w:val="00820163"/>
    <w:rsid w:val="00820839"/>
    <w:rsid w:val="00820D74"/>
    <w:rsid w:val="00821727"/>
    <w:rsid w:val="008220EC"/>
    <w:rsid w:val="00822B3F"/>
    <w:rsid w:val="00822BBE"/>
    <w:rsid w:val="008237F7"/>
    <w:rsid w:val="008252B1"/>
    <w:rsid w:val="00825C6A"/>
    <w:rsid w:val="00825CEE"/>
    <w:rsid w:val="00825E0A"/>
    <w:rsid w:val="008274AB"/>
    <w:rsid w:val="00827B26"/>
    <w:rsid w:val="00831636"/>
    <w:rsid w:val="008329EE"/>
    <w:rsid w:val="00832EAF"/>
    <w:rsid w:val="0083378B"/>
    <w:rsid w:val="00833CB8"/>
    <w:rsid w:val="00835245"/>
    <w:rsid w:val="00835497"/>
    <w:rsid w:val="00835DC3"/>
    <w:rsid w:val="00837062"/>
    <w:rsid w:val="008372D4"/>
    <w:rsid w:val="00840259"/>
    <w:rsid w:val="00840435"/>
    <w:rsid w:val="008422FC"/>
    <w:rsid w:val="00842637"/>
    <w:rsid w:val="00842F98"/>
    <w:rsid w:val="0084543F"/>
    <w:rsid w:val="00846747"/>
    <w:rsid w:val="00846B8B"/>
    <w:rsid w:val="008479C6"/>
    <w:rsid w:val="00850C27"/>
    <w:rsid w:val="00850EF3"/>
    <w:rsid w:val="0085148D"/>
    <w:rsid w:val="00851A9D"/>
    <w:rsid w:val="008536B1"/>
    <w:rsid w:val="00853F46"/>
    <w:rsid w:val="0085458F"/>
    <w:rsid w:val="008562DF"/>
    <w:rsid w:val="00857C0F"/>
    <w:rsid w:val="00857D68"/>
    <w:rsid w:val="00860050"/>
    <w:rsid w:val="00860475"/>
    <w:rsid w:val="00860F19"/>
    <w:rsid w:val="0086177F"/>
    <w:rsid w:val="00861D80"/>
    <w:rsid w:val="00862022"/>
    <w:rsid w:val="00866818"/>
    <w:rsid w:val="00866AD1"/>
    <w:rsid w:val="00867863"/>
    <w:rsid w:val="00872C9B"/>
    <w:rsid w:val="00873815"/>
    <w:rsid w:val="00873D1D"/>
    <w:rsid w:val="008740BA"/>
    <w:rsid w:val="0087435E"/>
    <w:rsid w:val="008746A0"/>
    <w:rsid w:val="00874952"/>
    <w:rsid w:val="00875131"/>
    <w:rsid w:val="00875989"/>
    <w:rsid w:val="00875C0D"/>
    <w:rsid w:val="00876486"/>
    <w:rsid w:val="00876D51"/>
    <w:rsid w:val="00882981"/>
    <w:rsid w:val="00883784"/>
    <w:rsid w:val="008852CB"/>
    <w:rsid w:val="00885C96"/>
    <w:rsid w:val="00885EA8"/>
    <w:rsid w:val="008862FE"/>
    <w:rsid w:val="0089060B"/>
    <w:rsid w:val="0089070F"/>
    <w:rsid w:val="0089095B"/>
    <w:rsid w:val="00890D69"/>
    <w:rsid w:val="00891014"/>
    <w:rsid w:val="0089157E"/>
    <w:rsid w:val="008931A5"/>
    <w:rsid w:val="0089353E"/>
    <w:rsid w:val="00893B52"/>
    <w:rsid w:val="00894B45"/>
    <w:rsid w:val="00894C65"/>
    <w:rsid w:val="00896A4D"/>
    <w:rsid w:val="0089760D"/>
    <w:rsid w:val="0089799E"/>
    <w:rsid w:val="008A07C9"/>
    <w:rsid w:val="008A0BA1"/>
    <w:rsid w:val="008A2007"/>
    <w:rsid w:val="008A2EDE"/>
    <w:rsid w:val="008A331A"/>
    <w:rsid w:val="008A5BEE"/>
    <w:rsid w:val="008A674C"/>
    <w:rsid w:val="008A7D7E"/>
    <w:rsid w:val="008B1B77"/>
    <w:rsid w:val="008B3709"/>
    <w:rsid w:val="008B4791"/>
    <w:rsid w:val="008C004D"/>
    <w:rsid w:val="008C08C1"/>
    <w:rsid w:val="008C0970"/>
    <w:rsid w:val="008C1C5F"/>
    <w:rsid w:val="008C2779"/>
    <w:rsid w:val="008C2C1B"/>
    <w:rsid w:val="008C30E9"/>
    <w:rsid w:val="008C42A2"/>
    <w:rsid w:val="008C4A2C"/>
    <w:rsid w:val="008C50AA"/>
    <w:rsid w:val="008C561F"/>
    <w:rsid w:val="008C6AC6"/>
    <w:rsid w:val="008C70A3"/>
    <w:rsid w:val="008C74EE"/>
    <w:rsid w:val="008D1A6C"/>
    <w:rsid w:val="008D2754"/>
    <w:rsid w:val="008D4548"/>
    <w:rsid w:val="008D4831"/>
    <w:rsid w:val="008D5CC3"/>
    <w:rsid w:val="008D7A81"/>
    <w:rsid w:val="008D7C18"/>
    <w:rsid w:val="008D7CE9"/>
    <w:rsid w:val="008D7F55"/>
    <w:rsid w:val="008E1984"/>
    <w:rsid w:val="008E27F0"/>
    <w:rsid w:val="008E4198"/>
    <w:rsid w:val="008E4EB7"/>
    <w:rsid w:val="008E58E5"/>
    <w:rsid w:val="008E637C"/>
    <w:rsid w:val="008E674F"/>
    <w:rsid w:val="008E6F1A"/>
    <w:rsid w:val="008E7843"/>
    <w:rsid w:val="008F029B"/>
    <w:rsid w:val="008F1A1F"/>
    <w:rsid w:val="008F4411"/>
    <w:rsid w:val="008F488C"/>
    <w:rsid w:val="008F48F9"/>
    <w:rsid w:val="008F4B9A"/>
    <w:rsid w:val="008F5CE8"/>
    <w:rsid w:val="008F60C6"/>
    <w:rsid w:val="008F7809"/>
    <w:rsid w:val="008F7996"/>
    <w:rsid w:val="00900554"/>
    <w:rsid w:val="009014E7"/>
    <w:rsid w:val="009042ED"/>
    <w:rsid w:val="00904D21"/>
    <w:rsid w:val="00904E93"/>
    <w:rsid w:val="00906767"/>
    <w:rsid w:val="00906BF2"/>
    <w:rsid w:val="00906CDD"/>
    <w:rsid w:val="00906D26"/>
    <w:rsid w:val="00907DE9"/>
    <w:rsid w:val="00911679"/>
    <w:rsid w:val="00911ADB"/>
    <w:rsid w:val="00911F58"/>
    <w:rsid w:val="0091213C"/>
    <w:rsid w:val="00913232"/>
    <w:rsid w:val="009138E9"/>
    <w:rsid w:val="00913F4E"/>
    <w:rsid w:val="0091523E"/>
    <w:rsid w:val="00915370"/>
    <w:rsid w:val="00917191"/>
    <w:rsid w:val="009177D9"/>
    <w:rsid w:val="00920412"/>
    <w:rsid w:val="00921377"/>
    <w:rsid w:val="00921D69"/>
    <w:rsid w:val="009244EA"/>
    <w:rsid w:val="0092548F"/>
    <w:rsid w:val="00925B1A"/>
    <w:rsid w:val="0092625F"/>
    <w:rsid w:val="009267B4"/>
    <w:rsid w:val="00927057"/>
    <w:rsid w:val="00927186"/>
    <w:rsid w:val="009308E6"/>
    <w:rsid w:val="0093227C"/>
    <w:rsid w:val="00933B83"/>
    <w:rsid w:val="00933BFF"/>
    <w:rsid w:val="00933C59"/>
    <w:rsid w:val="0093448F"/>
    <w:rsid w:val="0093491E"/>
    <w:rsid w:val="0093492C"/>
    <w:rsid w:val="00934D3E"/>
    <w:rsid w:val="0093507C"/>
    <w:rsid w:val="009370E9"/>
    <w:rsid w:val="00937317"/>
    <w:rsid w:val="00937E19"/>
    <w:rsid w:val="00940543"/>
    <w:rsid w:val="00940681"/>
    <w:rsid w:val="00940D89"/>
    <w:rsid w:val="009421D8"/>
    <w:rsid w:val="009425CD"/>
    <w:rsid w:val="00943167"/>
    <w:rsid w:val="00946071"/>
    <w:rsid w:val="009465A2"/>
    <w:rsid w:val="009475BF"/>
    <w:rsid w:val="00947A0B"/>
    <w:rsid w:val="009501C2"/>
    <w:rsid w:val="0095074D"/>
    <w:rsid w:val="00951CCF"/>
    <w:rsid w:val="00952485"/>
    <w:rsid w:val="009524ED"/>
    <w:rsid w:val="00952C49"/>
    <w:rsid w:val="00953733"/>
    <w:rsid w:val="0095373C"/>
    <w:rsid w:val="00953A51"/>
    <w:rsid w:val="00954474"/>
    <w:rsid w:val="009546F8"/>
    <w:rsid w:val="009573CB"/>
    <w:rsid w:val="00960109"/>
    <w:rsid w:val="00960B50"/>
    <w:rsid w:val="00961CF7"/>
    <w:rsid w:val="00961E42"/>
    <w:rsid w:val="00961FF6"/>
    <w:rsid w:val="00962316"/>
    <w:rsid w:val="00963D15"/>
    <w:rsid w:val="00965F72"/>
    <w:rsid w:val="00967D84"/>
    <w:rsid w:val="00970377"/>
    <w:rsid w:val="0097108A"/>
    <w:rsid w:val="00972131"/>
    <w:rsid w:val="009722B8"/>
    <w:rsid w:val="00972AE6"/>
    <w:rsid w:val="009741DF"/>
    <w:rsid w:val="00974ACC"/>
    <w:rsid w:val="00974EB1"/>
    <w:rsid w:val="00975314"/>
    <w:rsid w:val="00975A1A"/>
    <w:rsid w:val="00975DA0"/>
    <w:rsid w:val="00975F21"/>
    <w:rsid w:val="00977008"/>
    <w:rsid w:val="0098006E"/>
    <w:rsid w:val="009802B4"/>
    <w:rsid w:val="00980839"/>
    <w:rsid w:val="00981423"/>
    <w:rsid w:val="00981568"/>
    <w:rsid w:val="00981BD1"/>
    <w:rsid w:val="009822F9"/>
    <w:rsid w:val="00982F0A"/>
    <w:rsid w:val="009835DF"/>
    <w:rsid w:val="009836CD"/>
    <w:rsid w:val="009837AC"/>
    <w:rsid w:val="00984001"/>
    <w:rsid w:val="009844B9"/>
    <w:rsid w:val="00984C59"/>
    <w:rsid w:val="00985B4B"/>
    <w:rsid w:val="00986883"/>
    <w:rsid w:val="009868CB"/>
    <w:rsid w:val="009870F3"/>
    <w:rsid w:val="009876C7"/>
    <w:rsid w:val="009912FC"/>
    <w:rsid w:val="00992334"/>
    <w:rsid w:val="009952F5"/>
    <w:rsid w:val="00995D41"/>
    <w:rsid w:val="00996AE1"/>
    <w:rsid w:val="009970F7"/>
    <w:rsid w:val="00997EF3"/>
    <w:rsid w:val="009A426F"/>
    <w:rsid w:val="009A476A"/>
    <w:rsid w:val="009A5C80"/>
    <w:rsid w:val="009A602D"/>
    <w:rsid w:val="009A6EE8"/>
    <w:rsid w:val="009A7A30"/>
    <w:rsid w:val="009B1191"/>
    <w:rsid w:val="009B1279"/>
    <w:rsid w:val="009B1EFB"/>
    <w:rsid w:val="009B23C9"/>
    <w:rsid w:val="009B337C"/>
    <w:rsid w:val="009B3AF3"/>
    <w:rsid w:val="009B5161"/>
    <w:rsid w:val="009B51B0"/>
    <w:rsid w:val="009B560C"/>
    <w:rsid w:val="009B5F4A"/>
    <w:rsid w:val="009B64C2"/>
    <w:rsid w:val="009B6B5C"/>
    <w:rsid w:val="009B7B72"/>
    <w:rsid w:val="009B7F95"/>
    <w:rsid w:val="009C0219"/>
    <w:rsid w:val="009C03A6"/>
    <w:rsid w:val="009C109B"/>
    <w:rsid w:val="009C1586"/>
    <w:rsid w:val="009C2AA4"/>
    <w:rsid w:val="009C2D88"/>
    <w:rsid w:val="009C3810"/>
    <w:rsid w:val="009C38DF"/>
    <w:rsid w:val="009C41C6"/>
    <w:rsid w:val="009C4408"/>
    <w:rsid w:val="009C453D"/>
    <w:rsid w:val="009C5485"/>
    <w:rsid w:val="009C6295"/>
    <w:rsid w:val="009C67C7"/>
    <w:rsid w:val="009C682F"/>
    <w:rsid w:val="009C684A"/>
    <w:rsid w:val="009C6E18"/>
    <w:rsid w:val="009D13F3"/>
    <w:rsid w:val="009D24A0"/>
    <w:rsid w:val="009D24C5"/>
    <w:rsid w:val="009D2756"/>
    <w:rsid w:val="009D43EB"/>
    <w:rsid w:val="009D452B"/>
    <w:rsid w:val="009D4599"/>
    <w:rsid w:val="009D7DF0"/>
    <w:rsid w:val="009E0A64"/>
    <w:rsid w:val="009E11A7"/>
    <w:rsid w:val="009E240D"/>
    <w:rsid w:val="009E3D43"/>
    <w:rsid w:val="009E5CDA"/>
    <w:rsid w:val="009E7473"/>
    <w:rsid w:val="009E74A5"/>
    <w:rsid w:val="009F45F3"/>
    <w:rsid w:val="009F4604"/>
    <w:rsid w:val="009F514D"/>
    <w:rsid w:val="009F55DE"/>
    <w:rsid w:val="009F706A"/>
    <w:rsid w:val="00A00069"/>
    <w:rsid w:val="00A0026A"/>
    <w:rsid w:val="00A00C64"/>
    <w:rsid w:val="00A00CF8"/>
    <w:rsid w:val="00A012F3"/>
    <w:rsid w:val="00A01D26"/>
    <w:rsid w:val="00A02D94"/>
    <w:rsid w:val="00A034D0"/>
    <w:rsid w:val="00A03C2B"/>
    <w:rsid w:val="00A0550C"/>
    <w:rsid w:val="00A05E83"/>
    <w:rsid w:val="00A07F80"/>
    <w:rsid w:val="00A1043A"/>
    <w:rsid w:val="00A11D93"/>
    <w:rsid w:val="00A1429F"/>
    <w:rsid w:val="00A14318"/>
    <w:rsid w:val="00A145A2"/>
    <w:rsid w:val="00A14A89"/>
    <w:rsid w:val="00A14BFA"/>
    <w:rsid w:val="00A1633A"/>
    <w:rsid w:val="00A16F3E"/>
    <w:rsid w:val="00A1703F"/>
    <w:rsid w:val="00A200D7"/>
    <w:rsid w:val="00A20A02"/>
    <w:rsid w:val="00A20A6E"/>
    <w:rsid w:val="00A20B33"/>
    <w:rsid w:val="00A21E8E"/>
    <w:rsid w:val="00A2242F"/>
    <w:rsid w:val="00A232FD"/>
    <w:rsid w:val="00A24088"/>
    <w:rsid w:val="00A25513"/>
    <w:rsid w:val="00A257CC"/>
    <w:rsid w:val="00A25F94"/>
    <w:rsid w:val="00A26138"/>
    <w:rsid w:val="00A26CD5"/>
    <w:rsid w:val="00A2758F"/>
    <w:rsid w:val="00A27FA6"/>
    <w:rsid w:val="00A3199D"/>
    <w:rsid w:val="00A33853"/>
    <w:rsid w:val="00A34AFD"/>
    <w:rsid w:val="00A34E96"/>
    <w:rsid w:val="00A35C88"/>
    <w:rsid w:val="00A363E6"/>
    <w:rsid w:val="00A37F56"/>
    <w:rsid w:val="00A40076"/>
    <w:rsid w:val="00A40CF9"/>
    <w:rsid w:val="00A40F95"/>
    <w:rsid w:val="00A4139A"/>
    <w:rsid w:val="00A42919"/>
    <w:rsid w:val="00A433F6"/>
    <w:rsid w:val="00A43AB3"/>
    <w:rsid w:val="00A441E3"/>
    <w:rsid w:val="00A453C1"/>
    <w:rsid w:val="00A4673B"/>
    <w:rsid w:val="00A46A1E"/>
    <w:rsid w:val="00A474D2"/>
    <w:rsid w:val="00A47AFA"/>
    <w:rsid w:val="00A5105D"/>
    <w:rsid w:val="00A5136E"/>
    <w:rsid w:val="00A51F58"/>
    <w:rsid w:val="00A527EF"/>
    <w:rsid w:val="00A52BCA"/>
    <w:rsid w:val="00A534E5"/>
    <w:rsid w:val="00A54AD0"/>
    <w:rsid w:val="00A56296"/>
    <w:rsid w:val="00A56CA9"/>
    <w:rsid w:val="00A56D7E"/>
    <w:rsid w:val="00A5747A"/>
    <w:rsid w:val="00A57EE6"/>
    <w:rsid w:val="00A6048F"/>
    <w:rsid w:val="00A606AE"/>
    <w:rsid w:val="00A61586"/>
    <w:rsid w:val="00A617D5"/>
    <w:rsid w:val="00A6246F"/>
    <w:rsid w:val="00A626C6"/>
    <w:rsid w:val="00A632FE"/>
    <w:rsid w:val="00A63788"/>
    <w:rsid w:val="00A6465E"/>
    <w:rsid w:val="00A650D6"/>
    <w:rsid w:val="00A656D3"/>
    <w:rsid w:val="00A672CD"/>
    <w:rsid w:val="00A674D4"/>
    <w:rsid w:val="00A678F3"/>
    <w:rsid w:val="00A70179"/>
    <w:rsid w:val="00A702E6"/>
    <w:rsid w:val="00A70E7A"/>
    <w:rsid w:val="00A7219F"/>
    <w:rsid w:val="00A7266C"/>
    <w:rsid w:val="00A72C87"/>
    <w:rsid w:val="00A72FDA"/>
    <w:rsid w:val="00A746F7"/>
    <w:rsid w:val="00A7589B"/>
    <w:rsid w:val="00A76810"/>
    <w:rsid w:val="00A76C8B"/>
    <w:rsid w:val="00A80BBB"/>
    <w:rsid w:val="00A81040"/>
    <w:rsid w:val="00A82668"/>
    <w:rsid w:val="00A828AE"/>
    <w:rsid w:val="00A84CBC"/>
    <w:rsid w:val="00A84E42"/>
    <w:rsid w:val="00A8557E"/>
    <w:rsid w:val="00A85CF9"/>
    <w:rsid w:val="00A87B94"/>
    <w:rsid w:val="00A90466"/>
    <w:rsid w:val="00A93423"/>
    <w:rsid w:val="00A93B0E"/>
    <w:rsid w:val="00A94828"/>
    <w:rsid w:val="00A94FF9"/>
    <w:rsid w:val="00A958AF"/>
    <w:rsid w:val="00A95A2A"/>
    <w:rsid w:val="00A95B2E"/>
    <w:rsid w:val="00A96642"/>
    <w:rsid w:val="00A967D2"/>
    <w:rsid w:val="00A96A33"/>
    <w:rsid w:val="00A96C84"/>
    <w:rsid w:val="00A97664"/>
    <w:rsid w:val="00A97BD2"/>
    <w:rsid w:val="00AA08F7"/>
    <w:rsid w:val="00AA1209"/>
    <w:rsid w:val="00AA19E7"/>
    <w:rsid w:val="00AA1D2D"/>
    <w:rsid w:val="00AA262F"/>
    <w:rsid w:val="00AA3DDF"/>
    <w:rsid w:val="00AA42D9"/>
    <w:rsid w:val="00AA4384"/>
    <w:rsid w:val="00AA441C"/>
    <w:rsid w:val="00AA4C77"/>
    <w:rsid w:val="00AA4F94"/>
    <w:rsid w:val="00AA6500"/>
    <w:rsid w:val="00AA7008"/>
    <w:rsid w:val="00AA7A37"/>
    <w:rsid w:val="00AB0324"/>
    <w:rsid w:val="00AB0627"/>
    <w:rsid w:val="00AB21BF"/>
    <w:rsid w:val="00AB25B9"/>
    <w:rsid w:val="00AB2607"/>
    <w:rsid w:val="00AB3245"/>
    <w:rsid w:val="00AB480E"/>
    <w:rsid w:val="00AB4815"/>
    <w:rsid w:val="00AB4D62"/>
    <w:rsid w:val="00AB5C37"/>
    <w:rsid w:val="00AB5CE3"/>
    <w:rsid w:val="00AB60CF"/>
    <w:rsid w:val="00AB688A"/>
    <w:rsid w:val="00AB7C75"/>
    <w:rsid w:val="00AB7C8E"/>
    <w:rsid w:val="00AC077B"/>
    <w:rsid w:val="00AC0CE0"/>
    <w:rsid w:val="00AC1948"/>
    <w:rsid w:val="00AC2108"/>
    <w:rsid w:val="00AC233D"/>
    <w:rsid w:val="00AC490E"/>
    <w:rsid w:val="00AC65B9"/>
    <w:rsid w:val="00AC6910"/>
    <w:rsid w:val="00AC71CC"/>
    <w:rsid w:val="00AC7667"/>
    <w:rsid w:val="00AC76D2"/>
    <w:rsid w:val="00AC787C"/>
    <w:rsid w:val="00AD3AC4"/>
    <w:rsid w:val="00AD44D5"/>
    <w:rsid w:val="00AD4D03"/>
    <w:rsid w:val="00AD7DA9"/>
    <w:rsid w:val="00AE2324"/>
    <w:rsid w:val="00AE2A1C"/>
    <w:rsid w:val="00AE2FB7"/>
    <w:rsid w:val="00AE3030"/>
    <w:rsid w:val="00AE31D0"/>
    <w:rsid w:val="00AE533F"/>
    <w:rsid w:val="00AE58B4"/>
    <w:rsid w:val="00AE67A8"/>
    <w:rsid w:val="00AE7BB5"/>
    <w:rsid w:val="00AE7EB7"/>
    <w:rsid w:val="00AF0AA5"/>
    <w:rsid w:val="00AF16BB"/>
    <w:rsid w:val="00AF2039"/>
    <w:rsid w:val="00AF243A"/>
    <w:rsid w:val="00AF33E2"/>
    <w:rsid w:val="00AF3F5B"/>
    <w:rsid w:val="00AF4A82"/>
    <w:rsid w:val="00AF51B3"/>
    <w:rsid w:val="00AF6F02"/>
    <w:rsid w:val="00B00572"/>
    <w:rsid w:val="00B00EE3"/>
    <w:rsid w:val="00B0142D"/>
    <w:rsid w:val="00B040B8"/>
    <w:rsid w:val="00B05BEE"/>
    <w:rsid w:val="00B06727"/>
    <w:rsid w:val="00B06D4E"/>
    <w:rsid w:val="00B07CD0"/>
    <w:rsid w:val="00B07D37"/>
    <w:rsid w:val="00B07F6C"/>
    <w:rsid w:val="00B10525"/>
    <w:rsid w:val="00B1060B"/>
    <w:rsid w:val="00B10840"/>
    <w:rsid w:val="00B10FE5"/>
    <w:rsid w:val="00B1179A"/>
    <w:rsid w:val="00B11A72"/>
    <w:rsid w:val="00B11B7B"/>
    <w:rsid w:val="00B1216B"/>
    <w:rsid w:val="00B13BEA"/>
    <w:rsid w:val="00B1470B"/>
    <w:rsid w:val="00B1629D"/>
    <w:rsid w:val="00B174DF"/>
    <w:rsid w:val="00B176EA"/>
    <w:rsid w:val="00B17935"/>
    <w:rsid w:val="00B1799B"/>
    <w:rsid w:val="00B20667"/>
    <w:rsid w:val="00B214AC"/>
    <w:rsid w:val="00B2192C"/>
    <w:rsid w:val="00B21984"/>
    <w:rsid w:val="00B21A26"/>
    <w:rsid w:val="00B21D59"/>
    <w:rsid w:val="00B25353"/>
    <w:rsid w:val="00B255A2"/>
    <w:rsid w:val="00B27368"/>
    <w:rsid w:val="00B3023A"/>
    <w:rsid w:val="00B31601"/>
    <w:rsid w:val="00B32424"/>
    <w:rsid w:val="00B33311"/>
    <w:rsid w:val="00B33405"/>
    <w:rsid w:val="00B33417"/>
    <w:rsid w:val="00B33A1F"/>
    <w:rsid w:val="00B3402C"/>
    <w:rsid w:val="00B3427E"/>
    <w:rsid w:val="00B3559B"/>
    <w:rsid w:val="00B362FD"/>
    <w:rsid w:val="00B36F8E"/>
    <w:rsid w:val="00B375EF"/>
    <w:rsid w:val="00B37687"/>
    <w:rsid w:val="00B37907"/>
    <w:rsid w:val="00B40DC3"/>
    <w:rsid w:val="00B40F6D"/>
    <w:rsid w:val="00B4124C"/>
    <w:rsid w:val="00B417E8"/>
    <w:rsid w:val="00B419FC"/>
    <w:rsid w:val="00B42FD1"/>
    <w:rsid w:val="00B434ED"/>
    <w:rsid w:val="00B440D6"/>
    <w:rsid w:val="00B44423"/>
    <w:rsid w:val="00B44747"/>
    <w:rsid w:val="00B459C9"/>
    <w:rsid w:val="00B507F0"/>
    <w:rsid w:val="00B50CF8"/>
    <w:rsid w:val="00B515DD"/>
    <w:rsid w:val="00B52621"/>
    <w:rsid w:val="00B55289"/>
    <w:rsid w:val="00B553C9"/>
    <w:rsid w:val="00B55663"/>
    <w:rsid w:val="00B55665"/>
    <w:rsid w:val="00B55C25"/>
    <w:rsid w:val="00B564A3"/>
    <w:rsid w:val="00B56FDB"/>
    <w:rsid w:val="00B574A6"/>
    <w:rsid w:val="00B578BB"/>
    <w:rsid w:val="00B57CBA"/>
    <w:rsid w:val="00B60C45"/>
    <w:rsid w:val="00B6142B"/>
    <w:rsid w:val="00B61E5D"/>
    <w:rsid w:val="00B62DA7"/>
    <w:rsid w:val="00B65BC9"/>
    <w:rsid w:val="00B66123"/>
    <w:rsid w:val="00B67F6C"/>
    <w:rsid w:val="00B70AEA"/>
    <w:rsid w:val="00B71726"/>
    <w:rsid w:val="00B71EE6"/>
    <w:rsid w:val="00B72C32"/>
    <w:rsid w:val="00B72D48"/>
    <w:rsid w:val="00B72EF5"/>
    <w:rsid w:val="00B73BBA"/>
    <w:rsid w:val="00B7423E"/>
    <w:rsid w:val="00B74420"/>
    <w:rsid w:val="00B75E7D"/>
    <w:rsid w:val="00B76120"/>
    <w:rsid w:val="00B773B1"/>
    <w:rsid w:val="00B77A11"/>
    <w:rsid w:val="00B80B9B"/>
    <w:rsid w:val="00B81F21"/>
    <w:rsid w:val="00B83EAE"/>
    <w:rsid w:val="00B84FBE"/>
    <w:rsid w:val="00B8601B"/>
    <w:rsid w:val="00B86186"/>
    <w:rsid w:val="00B86B68"/>
    <w:rsid w:val="00B87508"/>
    <w:rsid w:val="00B87F44"/>
    <w:rsid w:val="00B92431"/>
    <w:rsid w:val="00B92DA3"/>
    <w:rsid w:val="00B947CE"/>
    <w:rsid w:val="00B9747A"/>
    <w:rsid w:val="00B97686"/>
    <w:rsid w:val="00BA1F12"/>
    <w:rsid w:val="00BA263C"/>
    <w:rsid w:val="00BA2EA6"/>
    <w:rsid w:val="00BA40DE"/>
    <w:rsid w:val="00BA480A"/>
    <w:rsid w:val="00BA6ABD"/>
    <w:rsid w:val="00BA6C84"/>
    <w:rsid w:val="00BA6FF1"/>
    <w:rsid w:val="00BA74C1"/>
    <w:rsid w:val="00BA7BE2"/>
    <w:rsid w:val="00BB0725"/>
    <w:rsid w:val="00BB09E1"/>
    <w:rsid w:val="00BB17BA"/>
    <w:rsid w:val="00BB34FA"/>
    <w:rsid w:val="00BB37D3"/>
    <w:rsid w:val="00BB5C09"/>
    <w:rsid w:val="00BB5C61"/>
    <w:rsid w:val="00BB6687"/>
    <w:rsid w:val="00BC16EC"/>
    <w:rsid w:val="00BC378D"/>
    <w:rsid w:val="00BC3871"/>
    <w:rsid w:val="00BC3D5F"/>
    <w:rsid w:val="00BC47E4"/>
    <w:rsid w:val="00BC4B42"/>
    <w:rsid w:val="00BC5100"/>
    <w:rsid w:val="00BC55C9"/>
    <w:rsid w:val="00BC588F"/>
    <w:rsid w:val="00BC5A67"/>
    <w:rsid w:val="00BC747D"/>
    <w:rsid w:val="00BD0631"/>
    <w:rsid w:val="00BD2211"/>
    <w:rsid w:val="00BD2A21"/>
    <w:rsid w:val="00BD2DDE"/>
    <w:rsid w:val="00BD2F76"/>
    <w:rsid w:val="00BD3599"/>
    <w:rsid w:val="00BD370D"/>
    <w:rsid w:val="00BD4684"/>
    <w:rsid w:val="00BD4842"/>
    <w:rsid w:val="00BD4B46"/>
    <w:rsid w:val="00BD5F2C"/>
    <w:rsid w:val="00BD63A6"/>
    <w:rsid w:val="00BD69FF"/>
    <w:rsid w:val="00BE02FD"/>
    <w:rsid w:val="00BE2B8E"/>
    <w:rsid w:val="00BE4886"/>
    <w:rsid w:val="00BE5083"/>
    <w:rsid w:val="00BE728E"/>
    <w:rsid w:val="00BE7DCD"/>
    <w:rsid w:val="00BF0162"/>
    <w:rsid w:val="00BF1108"/>
    <w:rsid w:val="00BF2017"/>
    <w:rsid w:val="00BF2289"/>
    <w:rsid w:val="00BF2762"/>
    <w:rsid w:val="00BF37BB"/>
    <w:rsid w:val="00BF5261"/>
    <w:rsid w:val="00BF5E0D"/>
    <w:rsid w:val="00BF6E22"/>
    <w:rsid w:val="00BF6FA1"/>
    <w:rsid w:val="00BF70F1"/>
    <w:rsid w:val="00BF7925"/>
    <w:rsid w:val="00C0034C"/>
    <w:rsid w:val="00C005E7"/>
    <w:rsid w:val="00C0161F"/>
    <w:rsid w:val="00C01674"/>
    <w:rsid w:val="00C01ABF"/>
    <w:rsid w:val="00C02F48"/>
    <w:rsid w:val="00C040E8"/>
    <w:rsid w:val="00C04566"/>
    <w:rsid w:val="00C04F42"/>
    <w:rsid w:val="00C05F35"/>
    <w:rsid w:val="00C06469"/>
    <w:rsid w:val="00C06580"/>
    <w:rsid w:val="00C07A48"/>
    <w:rsid w:val="00C07E37"/>
    <w:rsid w:val="00C1083F"/>
    <w:rsid w:val="00C11645"/>
    <w:rsid w:val="00C14312"/>
    <w:rsid w:val="00C1576B"/>
    <w:rsid w:val="00C15F7D"/>
    <w:rsid w:val="00C1704F"/>
    <w:rsid w:val="00C171B0"/>
    <w:rsid w:val="00C17E32"/>
    <w:rsid w:val="00C2162E"/>
    <w:rsid w:val="00C21FDC"/>
    <w:rsid w:val="00C23A45"/>
    <w:rsid w:val="00C244B0"/>
    <w:rsid w:val="00C24929"/>
    <w:rsid w:val="00C25732"/>
    <w:rsid w:val="00C259A9"/>
    <w:rsid w:val="00C261E5"/>
    <w:rsid w:val="00C27C6B"/>
    <w:rsid w:val="00C30421"/>
    <w:rsid w:val="00C305ED"/>
    <w:rsid w:val="00C31192"/>
    <w:rsid w:val="00C31285"/>
    <w:rsid w:val="00C31396"/>
    <w:rsid w:val="00C32940"/>
    <w:rsid w:val="00C332F3"/>
    <w:rsid w:val="00C333BD"/>
    <w:rsid w:val="00C345CA"/>
    <w:rsid w:val="00C37E04"/>
    <w:rsid w:val="00C40E7D"/>
    <w:rsid w:val="00C41468"/>
    <w:rsid w:val="00C4286D"/>
    <w:rsid w:val="00C42D84"/>
    <w:rsid w:val="00C44979"/>
    <w:rsid w:val="00C44FE4"/>
    <w:rsid w:val="00C4601C"/>
    <w:rsid w:val="00C464DC"/>
    <w:rsid w:val="00C51799"/>
    <w:rsid w:val="00C51B49"/>
    <w:rsid w:val="00C533C5"/>
    <w:rsid w:val="00C536B2"/>
    <w:rsid w:val="00C55ABF"/>
    <w:rsid w:val="00C57EAA"/>
    <w:rsid w:val="00C60125"/>
    <w:rsid w:val="00C608F0"/>
    <w:rsid w:val="00C60C31"/>
    <w:rsid w:val="00C60E16"/>
    <w:rsid w:val="00C62165"/>
    <w:rsid w:val="00C62A6D"/>
    <w:rsid w:val="00C630A1"/>
    <w:rsid w:val="00C638EE"/>
    <w:rsid w:val="00C652D0"/>
    <w:rsid w:val="00C66FCF"/>
    <w:rsid w:val="00C6758D"/>
    <w:rsid w:val="00C67AD1"/>
    <w:rsid w:val="00C70631"/>
    <w:rsid w:val="00C70823"/>
    <w:rsid w:val="00C72D5F"/>
    <w:rsid w:val="00C74854"/>
    <w:rsid w:val="00C7487C"/>
    <w:rsid w:val="00C75B0D"/>
    <w:rsid w:val="00C80386"/>
    <w:rsid w:val="00C80842"/>
    <w:rsid w:val="00C80F30"/>
    <w:rsid w:val="00C81112"/>
    <w:rsid w:val="00C820AC"/>
    <w:rsid w:val="00C84260"/>
    <w:rsid w:val="00C85738"/>
    <w:rsid w:val="00C85ED4"/>
    <w:rsid w:val="00C864B8"/>
    <w:rsid w:val="00C86F73"/>
    <w:rsid w:val="00C8712A"/>
    <w:rsid w:val="00C8770B"/>
    <w:rsid w:val="00C90201"/>
    <w:rsid w:val="00C90F95"/>
    <w:rsid w:val="00C912D0"/>
    <w:rsid w:val="00C91426"/>
    <w:rsid w:val="00C918F1"/>
    <w:rsid w:val="00C91BB9"/>
    <w:rsid w:val="00C928E4"/>
    <w:rsid w:val="00C94379"/>
    <w:rsid w:val="00C9571C"/>
    <w:rsid w:val="00C95B8F"/>
    <w:rsid w:val="00C961F2"/>
    <w:rsid w:val="00C97084"/>
    <w:rsid w:val="00C97BD9"/>
    <w:rsid w:val="00CA04AF"/>
    <w:rsid w:val="00CA05C9"/>
    <w:rsid w:val="00CA15ED"/>
    <w:rsid w:val="00CA1AA9"/>
    <w:rsid w:val="00CA2827"/>
    <w:rsid w:val="00CA3589"/>
    <w:rsid w:val="00CA5F08"/>
    <w:rsid w:val="00CA6210"/>
    <w:rsid w:val="00CA67A9"/>
    <w:rsid w:val="00CA68DA"/>
    <w:rsid w:val="00CB1206"/>
    <w:rsid w:val="00CB16F6"/>
    <w:rsid w:val="00CB205A"/>
    <w:rsid w:val="00CB32A3"/>
    <w:rsid w:val="00CB37AA"/>
    <w:rsid w:val="00CB3B15"/>
    <w:rsid w:val="00CB3F0E"/>
    <w:rsid w:val="00CB4623"/>
    <w:rsid w:val="00CB46C7"/>
    <w:rsid w:val="00CB5319"/>
    <w:rsid w:val="00CB57C9"/>
    <w:rsid w:val="00CB5A96"/>
    <w:rsid w:val="00CB6EA1"/>
    <w:rsid w:val="00CB7A36"/>
    <w:rsid w:val="00CC01E4"/>
    <w:rsid w:val="00CC0225"/>
    <w:rsid w:val="00CC0D00"/>
    <w:rsid w:val="00CC13DD"/>
    <w:rsid w:val="00CC1C24"/>
    <w:rsid w:val="00CC296A"/>
    <w:rsid w:val="00CC2F26"/>
    <w:rsid w:val="00CC3351"/>
    <w:rsid w:val="00CC3942"/>
    <w:rsid w:val="00CC45B9"/>
    <w:rsid w:val="00CC464D"/>
    <w:rsid w:val="00CC57ED"/>
    <w:rsid w:val="00CC5BE5"/>
    <w:rsid w:val="00CC5F99"/>
    <w:rsid w:val="00CC6BF5"/>
    <w:rsid w:val="00CC7C5F"/>
    <w:rsid w:val="00CD1E0C"/>
    <w:rsid w:val="00CD37CC"/>
    <w:rsid w:val="00CE00C6"/>
    <w:rsid w:val="00CE089C"/>
    <w:rsid w:val="00CE1A7E"/>
    <w:rsid w:val="00CE2052"/>
    <w:rsid w:val="00CE246D"/>
    <w:rsid w:val="00CE4125"/>
    <w:rsid w:val="00CE4F03"/>
    <w:rsid w:val="00CE5E66"/>
    <w:rsid w:val="00CE62F4"/>
    <w:rsid w:val="00CE6386"/>
    <w:rsid w:val="00CF0B00"/>
    <w:rsid w:val="00CF14CB"/>
    <w:rsid w:val="00CF15D5"/>
    <w:rsid w:val="00CF37DE"/>
    <w:rsid w:val="00CF5CFA"/>
    <w:rsid w:val="00CF6FEB"/>
    <w:rsid w:val="00CF79B4"/>
    <w:rsid w:val="00D03A6C"/>
    <w:rsid w:val="00D04779"/>
    <w:rsid w:val="00D04A36"/>
    <w:rsid w:val="00D051B3"/>
    <w:rsid w:val="00D061BC"/>
    <w:rsid w:val="00D06640"/>
    <w:rsid w:val="00D07F8F"/>
    <w:rsid w:val="00D1030B"/>
    <w:rsid w:val="00D10B99"/>
    <w:rsid w:val="00D10CC3"/>
    <w:rsid w:val="00D11D58"/>
    <w:rsid w:val="00D12227"/>
    <w:rsid w:val="00D12944"/>
    <w:rsid w:val="00D12DD4"/>
    <w:rsid w:val="00D12F75"/>
    <w:rsid w:val="00D13EF2"/>
    <w:rsid w:val="00D143C4"/>
    <w:rsid w:val="00D1530D"/>
    <w:rsid w:val="00D17F53"/>
    <w:rsid w:val="00D2045E"/>
    <w:rsid w:val="00D21636"/>
    <w:rsid w:val="00D2331A"/>
    <w:rsid w:val="00D23F04"/>
    <w:rsid w:val="00D2411D"/>
    <w:rsid w:val="00D2460D"/>
    <w:rsid w:val="00D2467C"/>
    <w:rsid w:val="00D24883"/>
    <w:rsid w:val="00D24941"/>
    <w:rsid w:val="00D27107"/>
    <w:rsid w:val="00D310BF"/>
    <w:rsid w:val="00D31558"/>
    <w:rsid w:val="00D327CC"/>
    <w:rsid w:val="00D33AE7"/>
    <w:rsid w:val="00D33D55"/>
    <w:rsid w:val="00D33D77"/>
    <w:rsid w:val="00D33DF9"/>
    <w:rsid w:val="00D343A3"/>
    <w:rsid w:val="00D3447C"/>
    <w:rsid w:val="00D34943"/>
    <w:rsid w:val="00D35454"/>
    <w:rsid w:val="00D37569"/>
    <w:rsid w:val="00D37656"/>
    <w:rsid w:val="00D37800"/>
    <w:rsid w:val="00D418C7"/>
    <w:rsid w:val="00D41ED9"/>
    <w:rsid w:val="00D441AE"/>
    <w:rsid w:val="00D4502C"/>
    <w:rsid w:val="00D45054"/>
    <w:rsid w:val="00D46AE4"/>
    <w:rsid w:val="00D477B1"/>
    <w:rsid w:val="00D47ACE"/>
    <w:rsid w:val="00D502B2"/>
    <w:rsid w:val="00D50DB4"/>
    <w:rsid w:val="00D5258E"/>
    <w:rsid w:val="00D53153"/>
    <w:rsid w:val="00D53555"/>
    <w:rsid w:val="00D53E41"/>
    <w:rsid w:val="00D5406C"/>
    <w:rsid w:val="00D55117"/>
    <w:rsid w:val="00D5774F"/>
    <w:rsid w:val="00D604FD"/>
    <w:rsid w:val="00D6094B"/>
    <w:rsid w:val="00D62DD9"/>
    <w:rsid w:val="00D62FE5"/>
    <w:rsid w:val="00D63B1B"/>
    <w:rsid w:val="00D63B52"/>
    <w:rsid w:val="00D64046"/>
    <w:rsid w:val="00D646BB"/>
    <w:rsid w:val="00D65DA8"/>
    <w:rsid w:val="00D669CD"/>
    <w:rsid w:val="00D66F57"/>
    <w:rsid w:val="00D67991"/>
    <w:rsid w:val="00D67C8C"/>
    <w:rsid w:val="00D706A8"/>
    <w:rsid w:val="00D728FE"/>
    <w:rsid w:val="00D742DD"/>
    <w:rsid w:val="00D7458C"/>
    <w:rsid w:val="00D80A2F"/>
    <w:rsid w:val="00D82941"/>
    <w:rsid w:val="00D82AD3"/>
    <w:rsid w:val="00D82E68"/>
    <w:rsid w:val="00D83052"/>
    <w:rsid w:val="00D83075"/>
    <w:rsid w:val="00D83F75"/>
    <w:rsid w:val="00D84163"/>
    <w:rsid w:val="00D85A7B"/>
    <w:rsid w:val="00D87BCD"/>
    <w:rsid w:val="00D90B97"/>
    <w:rsid w:val="00D90FA0"/>
    <w:rsid w:val="00D91AD9"/>
    <w:rsid w:val="00D923CB"/>
    <w:rsid w:val="00D92642"/>
    <w:rsid w:val="00D9381E"/>
    <w:rsid w:val="00D943C7"/>
    <w:rsid w:val="00D94920"/>
    <w:rsid w:val="00D950F4"/>
    <w:rsid w:val="00D96778"/>
    <w:rsid w:val="00D96E22"/>
    <w:rsid w:val="00DA0299"/>
    <w:rsid w:val="00DA0DAB"/>
    <w:rsid w:val="00DA130D"/>
    <w:rsid w:val="00DA1AEA"/>
    <w:rsid w:val="00DA296F"/>
    <w:rsid w:val="00DA3AFD"/>
    <w:rsid w:val="00DA4211"/>
    <w:rsid w:val="00DA474E"/>
    <w:rsid w:val="00DA49A6"/>
    <w:rsid w:val="00DA5154"/>
    <w:rsid w:val="00DA5966"/>
    <w:rsid w:val="00DA7631"/>
    <w:rsid w:val="00DA797B"/>
    <w:rsid w:val="00DA7BCF"/>
    <w:rsid w:val="00DB188E"/>
    <w:rsid w:val="00DB2BDD"/>
    <w:rsid w:val="00DB481F"/>
    <w:rsid w:val="00DB525A"/>
    <w:rsid w:val="00DB5C3A"/>
    <w:rsid w:val="00DB766D"/>
    <w:rsid w:val="00DC09C9"/>
    <w:rsid w:val="00DC0BCC"/>
    <w:rsid w:val="00DC5936"/>
    <w:rsid w:val="00DC6A36"/>
    <w:rsid w:val="00DC6FEB"/>
    <w:rsid w:val="00DC7577"/>
    <w:rsid w:val="00DC767F"/>
    <w:rsid w:val="00DD0348"/>
    <w:rsid w:val="00DD0529"/>
    <w:rsid w:val="00DD06A7"/>
    <w:rsid w:val="00DD0CD1"/>
    <w:rsid w:val="00DD12CA"/>
    <w:rsid w:val="00DD293A"/>
    <w:rsid w:val="00DD42ED"/>
    <w:rsid w:val="00DD4A00"/>
    <w:rsid w:val="00DD4A55"/>
    <w:rsid w:val="00DD6997"/>
    <w:rsid w:val="00DD7789"/>
    <w:rsid w:val="00DE0680"/>
    <w:rsid w:val="00DE17FD"/>
    <w:rsid w:val="00DE1E8D"/>
    <w:rsid w:val="00DE1FBB"/>
    <w:rsid w:val="00DE24CE"/>
    <w:rsid w:val="00DE3841"/>
    <w:rsid w:val="00DE50D5"/>
    <w:rsid w:val="00DE5211"/>
    <w:rsid w:val="00DE6E29"/>
    <w:rsid w:val="00DF0A9B"/>
    <w:rsid w:val="00DF12E0"/>
    <w:rsid w:val="00DF1D7C"/>
    <w:rsid w:val="00DF4C92"/>
    <w:rsid w:val="00DF5683"/>
    <w:rsid w:val="00DF5F83"/>
    <w:rsid w:val="00DF627D"/>
    <w:rsid w:val="00DF6403"/>
    <w:rsid w:val="00DF7EC4"/>
    <w:rsid w:val="00E01C35"/>
    <w:rsid w:val="00E02298"/>
    <w:rsid w:val="00E04B03"/>
    <w:rsid w:val="00E05738"/>
    <w:rsid w:val="00E06186"/>
    <w:rsid w:val="00E06C88"/>
    <w:rsid w:val="00E1092A"/>
    <w:rsid w:val="00E10EE4"/>
    <w:rsid w:val="00E12365"/>
    <w:rsid w:val="00E125C1"/>
    <w:rsid w:val="00E128AD"/>
    <w:rsid w:val="00E13163"/>
    <w:rsid w:val="00E13A0B"/>
    <w:rsid w:val="00E13FDC"/>
    <w:rsid w:val="00E1478E"/>
    <w:rsid w:val="00E15E98"/>
    <w:rsid w:val="00E169CE"/>
    <w:rsid w:val="00E169D0"/>
    <w:rsid w:val="00E179AC"/>
    <w:rsid w:val="00E200B1"/>
    <w:rsid w:val="00E2048C"/>
    <w:rsid w:val="00E21CC4"/>
    <w:rsid w:val="00E23C13"/>
    <w:rsid w:val="00E258F6"/>
    <w:rsid w:val="00E25EA3"/>
    <w:rsid w:val="00E26BBB"/>
    <w:rsid w:val="00E302C1"/>
    <w:rsid w:val="00E3066B"/>
    <w:rsid w:val="00E30DDB"/>
    <w:rsid w:val="00E31345"/>
    <w:rsid w:val="00E313C3"/>
    <w:rsid w:val="00E319D0"/>
    <w:rsid w:val="00E329C7"/>
    <w:rsid w:val="00E32A89"/>
    <w:rsid w:val="00E32B54"/>
    <w:rsid w:val="00E3366A"/>
    <w:rsid w:val="00E348AF"/>
    <w:rsid w:val="00E34C99"/>
    <w:rsid w:val="00E37169"/>
    <w:rsid w:val="00E37E39"/>
    <w:rsid w:val="00E40158"/>
    <w:rsid w:val="00E40C17"/>
    <w:rsid w:val="00E40FF9"/>
    <w:rsid w:val="00E42819"/>
    <w:rsid w:val="00E42C7F"/>
    <w:rsid w:val="00E45FF9"/>
    <w:rsid w:val="00E471C1"/>
    <w:rsid w:val="00E509FB"/>
    <w:rsid w:val="00E50A51"/>
    <w:rsid w:val="00E50C67"/>
    <w:rsid w:val="00E515B3"/>
    <w:rsid w:val="00E519CF"/>
    <w:rsid w:val="00E52120"/>
    <w:rsid w:val="00E52310"/>
    <w:rsid w:val="00E52C25"/>
    <w:rsid w:val="00E54B40"/>
    <w:rsid w:val="00E54C0F"/>
    <w:rsid w:val="00E54E0C"/>
    <w:rsid w:val="00E555CF"/>
    <w:rsid w:val="00E55B27"/>
    <w:rsid w:val="00E55BCF"/>
    <w:rsid w:val="00E5635E"/>
    <w:rsid w:val="00E572EA"/>
    <w:rsid w:val="00E606B3"/>
    <w:rsid w:val="00E61D42"/>
    <w:rsid w:val="00E62769"/>
    <w:rsid w:val="00E6391F"/>
    <w:rsid w:val="00E63D48"/>
    <w:rsid w:val="00E64753"/>
    <w:rsid w:val="00E6519D"/>
    <w:rsid w:val="00E654A6"/>
    <w:rsid w:val="00E65868"/>
    <w:rsid w:val="00E6650B"/>
    <w:rsid w:val="00E66AC2"/>
    <w:rsid w:val="00E67BFB"/>
    <w:rsid w:val="00E70B54"/>
    <w:rsid w:val="00E71281"/>
    <w:rsid w:val="00E722FC"/>
    <w:rsid w:val="00E73489"/>
    <w:rsid w:val="00E73920"/>
    <w:rsid w:val="00E73C53"/>
    <w:rsid w:val="00E751E7"/>
    <w:rsid w:val="00E7562D"/>
    <w:rsid w:val="00E764E4"/>
    <w:rsid w:val="00E77F5A"/>
    <w:rsid w:val="00E77F98"/>
    <w:rsid w:val="00E80A99"/>
    <w:rsid w:val="00E8165E"/>
    <w:rsid w:val="00E81800"/>
    <w:rsid w:val="00E823F8"/>
    <w:rsid w:val="00E829A9"/>
    <w:rsid w:val="00E8314D"/>
    <w:rsid w:val="00E84761"/>
    <w:rsid w:val="00E8495A"/>
    <w:rsid w:val="00E84A10"/>
    <w:rsid w:val="00E84AEA"/>
    <w:rsid w:val="00E8629A"/>
    <w:rsid w:val="00E8664A"/>
    <w:rsid w:val="00E90323"/>
    <w:rsid w:val="00E906D2"/>
    <w:rsid w:val="00E907C2"/>
    <w:rsid w:val="00E91EE0"/>
    <w:rsid w:val="00E920C4"/>
    <w:rsid w:val="00E93B05"/>
    <w:rsid w:val="00E94317"/>
    <w:rsid w:val="00E94790"/>
    <w:rsid w:val="00E9768B"/>
    <w:rsid w:val="00E97982"/>
    <w:rsid w:val="00E97D9C"/>
    <w:rsid w:val="00EA1DD0"/>
    <w:rsid w:val="00EA2267"/>
    <w:rsid w:val="00EA2DBF"/>
    <w:rsid w:val="00EA3620"/>
    <w:rsid w:val="00EA4918"/>
    <w:rsid w:val="00EA4B43"/>
    <w:rsid w:val="00EA567B"/>
    <w:rsid w:val="00EA5AFA"/>
    <w:rsid w:val="00EA6ACF"/>
    <w:rsid w:val="00EA6D68"/>
    <w:rsid w:val="00EA730F"/>
    <w:rsid w:val="00EA75FD"/>
    <w:rsid w:val="00EA7DB6"/>
    <w:rsid w:val="00EB016B"/>
    <w:rsid w:val="00EB0529"/>
    <w:rsid w:val="00EB1601"/>
    <w:rsid w:val="00EB1E01"/>
    <w:rsid w:val="00EB2936"/>
    <w:rsid w:val="00EB30DD"/>
    <w:rsid w:val="00EB3642"/>
    <w:rsid w:val="00EB4249"/>
    <w:rsid w:val="00EB5216"/>
    <w:rsid w:val="00EB5E48"/>
    <w:rsid w:val="00EC00E2"/>
    <w:rsid w:val="00EC037C"/>
    <w:rsid w:val="00EC08A5"/>
    <w:rsid w:val="00EC192F"/>
    <w:rsid w:val="00EC2C91"/>
    <w:rsid w:val="00EC2DF1"/>
    <w:rsid w:val="00EC4389"/>
    <w:rsid w:val="00EC4801"/>
    <w:rsid w:val="00EC52D2"/>
    <w:rsid w:val="00EC535C"/>
    <w:rsid w:val="00EC5876"/>
    <w:rsid w:val="00EC62E8"/>
    <w:rsid w:val="00ED0964"/>
    <w:rsid w:val="00ED12DC"/>
    <w:rsid w:val="00ED16B5"/>
    <w:rsid w:val="00ED19FB"/>
    <w:rsid w:val="00ED28DD"/>
    <w:rsid w:val="00ED4271"/>
    <w:rsid w:val="00ED6C5F"/>
    <w:rsid w:val="00ED6E2C"/>
    <w:rsid w:val="00ED7283"/>
    <w:rsid w:val="00ED7364"/>
    <w:rsid w:val="00ED7888"/>
    <w:rsid w:val="00ED7BF4"/>
    <w:rsid w:val="00EE2009"/>
    <w:rsid w:val="00EE2C2E"/>
    <w:rsid w:val="00EE4506"/>
    <w:rsid w:val="00EE52C5"/>
    <w:rsid w:val="00EE6B14"/>
    <w:rsid w:val="00EE6D11"/>
    <w:rsid w:val="00EE6E83"/>
    <w:rsid w:val="00EE755E"/>
    <w:rsid w:val="00EE7700"/>
    <w:rsid w:val="00EF0358"/>
    <w:rsid w:val="00EF0C63"/>
    <w:rsid w:val="00EF0CEF"/>
    <w:rsid w:val="00EF10B2"/>
    <w:rsid w:val="00EF2FD5"/>
    <w:rsid w:val="00EF317C"/>
    <w:rsid w:val="00EF3978"/>
    <w:rsid w:val="00EF5655"/>
    <w:rsid w:val="00EF5A81"/>
    <w:rsid w:val="00EF6CD0"/>
    <w:rsid w:val="00EF7BCF"/>
    <w:rsid w:val="00F02C0C"/>
    <w:rsid w:val="00F02EA7"/>
    <w:rsid w:val="00F04114"/>
    <w:rsid w:val="00F044DD"/>
    <w:rsid w:val="00F04629"/>
    <w:rsid w:val="00F04634"/>
    <w:rsid w:val="00F06548"/>
    <w:rsid w:val="00F06854"/>
    <w:rsid w:val="00F06B72"/>
    <w:rsid w:val="00F07399"/>
    <w:rsid w:val="00F07BAB"/>
    <w:rsid w:val="00F10625"/>
    <w:rsid w:val="00F11F43"/>
    <w:rsid w:val="00F12980"/>
    <w:rsid w:val="00F12C44"/>
    <w:rsid w:val="00F131B9"/>
    <w:rsid w:val="00F13711"/>
    <w:rsid w:val="00F13C41"/>
    <w:rsid w:val="00F14F64"/>
    <w:rsid w:val="00F15047"/>
    <w:rsid w:val="00F15B7D"/>
    <w:rsid w:val="00F15E14"/>
    <w:rsid w:val="00F160B9"/>
    <w:rsid w:val="00F1652F"/>
    <w:rsid w:val="00F16897"/>
    <w:rsid w:val="00F16E0E"/>
    <w:rsid w:val="00F16F98"/>
    <w:rsid w:val="00F211AE"/>
    <w:rsid w:val="00F2171E"/>
    <w:rsid w:val="00F22B4A"/>
    <w:rsid w:val="00F2479D"/>
    <w:rsid w:val="00F268FC"/>
    <w:rsid w:val="00F26A17"/>
    <w:rsid w:val="00F26A8E"/>
    <w:rsid w:val="00F26C0C"/>
    <w:rsid w:val="00F270C9"/>
    <w:rsid w:val="00F329C7"/>
    <w:rsid w:val="00F32F9E"/>
    <w:rsid w:val="00F34046"/>
    <w:rsid w:val="00F34064"/>
    <w:rsid w:val="00F34B1D"/>
    <w:rsid w:val="00F35BC9"/>
    <w:rsid w:val="00F372B2"/>
    <w:rsid w:val="00F37FCC"/>
    <w:rsid w:val="00F40BAD"/>
    <w:rsid w:val="00F42076"/>
    <w:rsid w:val="00F42B0E"/>
    <w:rsid w:val="00F432EB"/>
    <w:rsid w:val="00F43E62"/>
    <w:rsid w:val="00F444F3"/>
    <w:rsid w:val="00F44954"/>
    <w:rsid w:val="00F44CEA"/>
    <w:rsid w:val="00F454F2"/>
    <w:rsid w:val="00F51CD1"/>
    <w:rsid w:val="00F52648"/>
    <w:rsid w:val="00F533D7"/>
    <w:rsid w:val="00F5367F"/>
    <w:rsid w:val="00F56075"/>
    <w:rsid w:val="00F57EE7"/>
    <w:rsid w:val="00F614BB"/>
    <w:rsid w:val="00F61AC0"/>
    <w:rsid w:val="00F62CAB"/>
    <w:rsid w:val="00F63138"/>
    <w:rsid w:val="00F63A46"/>
    <w:rsid w:val="00F64120"/>
    <w:rsid w:val="00F64B71"/>
    <w:rsid w:val="00F66C80"/>
    <w:rsid w:val="00F678CC"/>
    <w:rsid w:val="00F70420"/>
    <w:rsid w:val="00F70877"/>
    <w:rsid w:val="00F71163"/>
    <w:rsid w:val="00F726CF"/>
    <w:rsid w:val="00F72E79"/>
    <w:rsid w:val="00F72F89"/>
    <w:rsid w:val="00F7397D"/>
    <w:rsid w:val="00F73BD6"/>
    <w:rsid w:val="00F754F3"/>
    <w:rsid w:val="00F7561A"/>
    <w:rsid w:val="00F75C58"/>
    <w:rsid w:val="00F8113C"/>
    <w:rsid w:val="00F81758"/>
    <w:rsid w:val="00F82623"/>
    <w:rsid w:val="00F844ED"/>
    <w:rsid w:val="00F85296"/>
    <w:rsid w:val="00F85F7B"/>
    <w:rsid w:val="00F8614B"/>
    <w:rsid w:val="00F86625"/>
    <w:rsid w:val="00F867CE"/>
    <w:rsid w:val="00F874AE"/>
    <w:rsid w:val="00F902B4"/>
    <w:rsid w:val="00F90913"/>
    <w:rsid w:val="00F92F16"/>
    <w:rsid w:val="00F93828"/>
    <w:rsid w:val="00F945B6"/>
    <w:rsid w:val="00F95236"/>
    <w:rsid w:val="00F95FE1"/>
    <w:rsid w:val="00F9646E"/>
    <w:rsid w:val="00F9706E"/>
    <w:rsid w:val="00F97F34"/>
    <w:rsid w:val="00FA1F87"/>
    <w:rsid w:val="00FA310D"/>
    <w:rsid w:val="00FA46AF"/>
    <w:rsid w:val="00FA5BED"/>
    <w:rsid w:val="00FA72E3"/>
    <w:rsid w:val="00FB18E7"/>
    <w:rsid w:val="00FB3E8B"/>
    <w:rsid w:val="00FB5F36"/>
    <w:rsid w:val="00FB792F"/>
    <w:rsid w:val="00FC01EC"/>
    <w:rsid w:val="00FC1451"/>
    <w:rsid w:val="00FC34F0"/>
    <w:rsid w:val="00FC3754"/>
    <w:rsid w:val="00FC3981"/>
    <w:rsid w:val="00FC3DC8"/>
    <w:rsid w:val="00FC537F"/>
    <w:rsid w:val="00FC5E1F"/>
    <w:rsid w:val="00FC7843"/>
    <w:rsid w:val="00FD1618"/>
    <w:rsid w:val="00FD1A0E"/>
    <w:rsid w:val="00FD3170"/>
    <w:rsid w:val="00FD3493"/>
    <w:rsid w:val="00FD50E7"/>
    <w:rsid w:val="00FD511A"/>
    <w:rsid w:val="00FD52E0"/>
    <w:rsid w:val="00FD5396"/>
    <w:rsid w:val="00FD5E33"/>
    <w:rsid w:val="00FD6EE4"/>
    <w:rsid w:val="00FD7C7E"/>
    <w:rsid w:val="00FE1652"/>
    <w:rsid w:val="00FE28C2"/>
    <w:rsid w:val="00FE46AE"/>
    <w:rsid w:val="00FE5109"/>
    <w:rsid w:val="00FE6259"/>
    <w:rsid w:val="00FE7663"/>
    <w:rsid w:val="00FE79C0"/>
    <w:rsid w:val="00FE7B7E"/>
    <w:rsid w:val="00FE7C8D"/>
    <w:rsid w:val="00FF0391"/>
    <w:rsid w:val="00FF05BA"/>
    <w:rsid w:val="00FF0D8A"/>
    <w:rsid w:val="00FF0E4D"/>
    <w:rsid w:val="00FF1A50"/>
    <w:rsid w:val="00FF244F"/>
    <w:rsid w:val="00FF2BEF"/>
    <w:rsid w:val="00FF34E4"/>
    <w:rsid w:val="00FF428F"/>
    <w:rsid w:val="00FF4F1B"/>
    <w:rsid w:val="00FF5C66"/>
    <w:rsid w:val="00FF784B"/>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B78FD"/>
  <w15:docId w15:val="{1649D274-3DAA-384D-BEFC-6F4915E2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81568"/>
    <w:pPr>
      <w:snapToGrid w:val="0"/>
      <w:spacing w:before="120" w:after="120" w:line="360" w:lineRule="auto"/>
      <w:ind w:firstLine="360"/>
    </w:pPr>
    <w:rPr>
      <w:rFonts w:ascii="Times New Roman" w:hAnsi="Times New Roman"/>
      <w:sz w:val="24"/>
      <w:lang w:val="en-US" w:eastAsia="en-US"/>
    </w:rPr>
  </w:style>
  <w:style w:type="paragraph" w:styleId="Heading1">
    <w:name w:val="heading 1"/>
    <w:basedOn w:val="H1"/>
    <w:next w:val="Normal"/>
    <w:link w:val="Heading1Char"/>
    <w:uiPriority w:val="9"/>
    <w:rsid w:val="00397942"/>
    <w:pPr>
      <w:outlineLvl w:val="0"/>
    </w:pPr>
  </w:style>
  <w:style w:type="paragraph" w:styleId="Heading2">
    <w:name w:val="heading 2"/>
    <w:basedOn w:val="H2"/>
    <w:next w:val="Normal"/>
    <w:link w:val="Heading2Char"/>
    <w:uiPriority w:val="9"/>
    <w:unhideWhenUsed/>
    <w:rsid w:val="00397942"/>
    <w:pPr>
      <w:outlineLvl w:val="1"/>
    </w:pPr>
  </w:style>
  <w:style w:type="paragraph" w:styleId="Heading3">
    <w:name w:val="heading 3"/>
    <w:basedOn w:val="H3"/>
    <w:next w:val="Normal"/>
    <w:link w:val="Heading3Char"/>
    <w:uiPriority w:val="9"/>
    <w:unhideWhenUsed/>
    <w:rsid w:val="00397942"/>
    <w:pPr>
      <w:outlineLvl w:val="2"/>
    </w:pPr>
  </w:style>
  <w:style w:type="paragraph" w:styleId="Heading4">
    <w:name w:val="heading 4"/>
    <w:basedOn w:val="Normal"/>
    <w:next w:val="Normal"/>
    <w:link w:val="Heading4Char"/>
    <w:uiPriority w:val="9"/>
    <w:semiHidden/>
    <w:unhideWhenUsed/>
    <w:qFormat/>
    <w:rsid w:val="0083378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3378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3378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3378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3378B"/>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83378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56359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B5C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563593"/>
  </w:style>
  <w:style w:type="character" w:customStyle="1" w:styleId="FooterChar">
    <w:name w:val="Footer Char"/>
    <w:link w:val="Footer"/>
    <w:uiPriority w:val="99"/>
    <w:rsid w:val="00563593"/>
    <w:rPr>
      <w:rFonts w:ascii="Times New Roman" w:hAnsi="Times New Roman"/>
      <w:lang w:val="en-US" w:eastAsia="en-US"/>
    </w:rPr>
  </w:style>
  <w:style w:type="paragraph" w:styleId="Footer">
    <w:name w:val="footer"/>
    <w:basedOn w:val="Normal"/>
    <w:link w:val="FooterChar"/>
    <w:uiPriority w:val="99"/>
    <w:rsid w:val="001B5C9A"/>
    <w:pPr>
      <w:tabs>
        <w:tab w:val="center" w:pos="4320"/>
        <w:tab w:val="right" w:pos="8640"/>
      </w:tabs>
      <w:spacing w:before="0" w:after="0" w:line="240" w:lineRule="auto"/>
      <w:ind w:firstLine="0"/>
    </w:pPr>
  </w:style>
  <w:style w:type="paragraph" w:styleId="BalloonText">
    <w:name w:val="Balloon Text"/>
    <w:basedOn w:val="Normal"/>
    <w:link w:val="BalloonTextChar"/>
    <w:uiPriority w:val="99"/>
    <w:semiHidden/>
    <w:rsid w:val="00F40BAD"/>
    <w:pPr>
      <w:spacing w:before="0" w:after="0" w:line="240" w:lineRule="auto"/>
      <w:ind w:firstLine="0"/>
    </w:pPr>
    <w:rPr>
      <w:rFonts w:ascii="Segoe UI" w:hAnsi="Segoe UI" w:cs="Segoe UI"/>
      <w:sz w:val="18"/>
      <w:szCs w:val="18"/>
    </w:rPr>
  </w:style>
  <w:style w:type="paragraph" w:styleId="Revision">
    <w:name w:val="Revision"/>
    <w:hidden/>
    <w:uiPriority w:val="99"/>
    <w:semiHidden/>
    <w:rsid w:val="00563593"/>
    <w:rPr>
      <w:rFonts w:cs="Arial"/>
      <w:color w:val="000000"/>
      <w:sz w:val="22"/>
      <w:szCs w:val="22"/>
      <w:lang w:val="en-GB" w:eastAsia="en-GB"/>
    </w:rPr>
  </w:style>
  <w:style w:type="character" w:styleId="PlaceholderText">
    <w:name w:val="Placeholder Text"/>
    <w:uiPriority w:val="99"/>
    <w:semiHidden/>
    <w:rsid w:val="00563593"/>
    <w:rPr>
      <w:color w:val="808080"/>
    </w:rPr>
  </w:style>
  <w:style w:type="character" w:customStyle="1" w:styleId="BalloonTextChar">
    <w:name w:val="Balloon Text Char"/>
    <w:basedOn w:val="DefaultParagraphFont"/>
    <w:link w:val="BalloonText"/>
    <w:uiPriority w:val="99"/>
    <w:semiHidden/>
    <w:rsid w:val="00F40BAD"/>
    <w:rPr>
      <w:rFonts w:ascii="Segoe UI" w:hAnsi="Segoe UI" w:cs="Segoe UI"/>
      <w:sz w:val="18"/>
      <w:szCs w:val="18"/>
      <w:lang w:val="en-US" w:eastAsia="en-US"/>
    </w:rPr>
  </w:style>
  <w:style w:type="character" w:customStyle="1" w:styleId="Heading3Char">
    <w:name w:val="Heading 3 Char"/>
    <w:link w:val="Heading3"/>
    <w:uiPriority w:val="9"/>
    <w:rsid w:val="00397942"/>
    <w:rPr>
      <w:rFonts w:ascii="Times New Roman" w:hAnsi="Times New Roman"/>
      <w:smallCaps/>
      <w:kern w:val="28"/>
      <w:sz w:val="24"/>
      <w:lang w:val="en-US" w:eastAsia="en-US"/>
    </w:rPr>
  </w:style>
  <w:style w:type="character" w:customStyle="1" w:styleId="Heading2Char">
    <w:name w:val="Heading 2 Char"/>
    <w:link w:val="Heading2"/>
    <w:uiPriority w:val="9"/>
    <w:rsid w:val="00397942"/>
    <w:rPr>
      <w:rFonts w:ascii="Times New Roman" w:hAnsi="Times New Roman"/>
      <w:i/>
      <w:kern w:val="28"/>
      <w:sz w:val="24"/>
      <w:lang w:val="en-US" w:eastAsia="en-US"/>
    </w:rPr>
  </w:style>
  <w:style w:type="character" w:customStyle="1" w:styleId="Heading1Char">
    <w:name w:val="Heading 1 Char"/>
    <w:link w:val="Heading1"/>
    <w:uiPriority w:val="9"/>
    <w:rsid w:val="00397942"/>
    <w:rPr>
      <w:rFonts w:ascii="Times New Roman" w:hAnsi="Times New Roman"/>
      <w:b/>
      <w:kern w:val="28"/>
      <w:sz w:val="28"/>
      <w:lang w:val="en-US" w:eastAsia="en-US"/>
    </w:rPr>
  </w:style>
  <w:style w:type="character" w:styleId="PageNumber">
    <w:name w:val="page number"/>
    <w:basedOn w:val="DefaultParagraphFont"/>
    <w:uiPriority w:val="99"/>
    <w:semiHidden/>
    <w:unhideWhenUsed/>
    <w:rsid w:val="006D7457"/>
  </w:style>
  <w:style w:type="paragraph" w:styleId="FootnoteText">
    <w:name w:val="footnote text"/>
    <w:basedOn w:val="Normal"/>
    <w:link w:val="FootnoteTextChar"/>
    <w:uiPriority w:val="99"/>
    <w:semiHidden/>
    <w:unhideWhenUsed/>
    <w:rsid w:val="001B5C9A"/>
  </w:style>
  <w:style w:type="character" w:customStyle="1" w:styleId="FootnoteTextChar">
    <w:name w:val="Footnote Text Char"/>
    <w:link w:val="FootnoteText"/>
    <w:uiPriority w:val="99"/>
    <w:semiHidden/>
    <w:rsid w:val="001B5C9A"/>
    <w:rPr>
      <w:rFonts w:ascii="Times New Roman" w:hAnsi="Times New Roman"/>
      <w:lang w:val="en-US" w:eastAsia="en-US"/>
    </w:rPr>
  </w:style>
  <w:style w:type="paragraph" w:customStyle="1" w:styleId="ParagraphText">
    <w:name w:val="Paragraph Text"/>
    <w:link w:val="ParagraphTextChar"/>
    <w:qFormat/>
    <w:rsid w:val="00981568"/>
    <w:pPr>
      <w:snapToGrid w:val="0"/>
      <w:spacing w:before="120" w:line="360" w:lineRule="auto"/>
      <w:ind w:firstLine="360"/>
    </w:pPr>
    <w:rPr>
      <w:rFonts w:ascii="Times New Roman" w:hAnsi="Times New Roman"/>
      <w:sz w:val="24"/>
      <w:lang w:val="en-US" w:eastAsia="en-US"/>
    </w:rPr>
  </w:style>
  <w:style w:type="paragraph" w:customStyle="1" w:styleId="BibReference">
    <w:name w:val="Bib_Reference"/>
    <w:qFormat/>
    <w:rsid w:val="00981568"/>
    <w:pPr>
      <w:snapToGrid w:val="0"/>
      <w:spacing w:before="120" w:line="360" w:lineRule="auto"/>
      <w:ind w:left="360" w:hanging="360"/>
    </w:pPr>
    <w:rPr>
      <w:rFonts w:ascii="Times New Roman" w:hAnsi="Times New Roman"/>
      <w:sz w:val="24"/>
      <w:lang w:val="en-US" w:eastAsia="en-US"/>
    </w:rPr>
  </w:style>
  <w:style w:type="paragraph" w:customStyle="1" w:styleId="ComponentName">
    <w:name w:val="Component Name"/>
    <w:next w:val="ParagraphText"/>
    <w:rsid w:val="00981568"/>
    <w:pPr>
      <w:snapToGrid w:val="0"/>
      <w:spacing w:before="120" w:after="120" w:line="360" w:lineRule="auto"/>
      <w:jc w:val="center"/>
      <w:outlineLvl w:val="0"/>
    </w:pPr>
    <w:rPr>
      <w:rFonts w:ascii="Times New Roman" w:hAnsi="Times New Roman"/>
      <w:caps/>
      <w:kern w:val="28"/>
      <w:sz w:val="24"/>
      <w:szCs w:val="24"/>
      <w:lang w:val="en-US" w:eastAsia="en-US"/>
    </w:rPr>
  </w:style>
  <w:style w:type="paragraph" w:customStyle="1" w:styleId="Affiliations">
    <w:name w:val="Affiliations"/>
    <w:qFormat/>
    <w:rsid w:val="00981568"/>
    <w:pPr>
      <w:snapToGrid w:val="0"/>
      <w:spacing w:before="120" w:line="360" w:lineRule="auto"/>
      <w:jc w:val="center"/>
    </w:pPr>
    <w:rPr>
      <w:rFonts w:ascii="Times New Roman" w:hAnsi="Times New Roman"/>
      <w:i/>
      <w:lang w:val="en-US" w:eastAsia="en-US"/>
    </w:rPr>
  </w:style>
  <w:style w:type="paragraph" w:customStyle="1" w:styleId="H1">
    <w:name w:val="H1"/>
    <w:qFormat/>
    <w:rsid w:val="00981568"/>
    <w:pPr>
      <w:snapToGrid w:val="0"/>
      <w:spacing w:before="240" w:line="360" w:lineRule="auto"/>
    </w:pPr>
    <w:rPr>
      <w:rFonts w:ascii="Times New Roman" w:hAnsi="Times New Roman"/>
      <w:b/>
      <w:kern w:val="28"/>
      <w:sz w:val="28"/>
      <w:lang w:val="en-US" w:eastAsia="en-US"/>
    </w:rPr>
  </w:style>
  <w:style w:type="paragraph" w:customStyle="1" w:styleId="H2">
    <w:name w:val="H2"/>
    <w:qFormat/>
    <w:rsid w:val="00981568"/>
    <w:pPr>
      <w:snapToGrid w:val="0"/>
      <w:spacing w:before="240" w:line="360" w:lineRule="auto"/>
    </w:pPr>
    <w:rPr>
      <w:rFonts w:ascii="Times New Roman" w:hAnsi="Times New Roman"/>
      <w:i/>
      <w:kern w:val="28"/>
      <w:sz w:val="24"/>
      <w:lang w:val="en-US" w:eastAsia="en-US"/>
    </w:rPr>
  </w:style>
  <w:style w:type="paragraph" w:customStyle="1" w:styleId="H3">
    <w:name w:val="H3"/>
    <w:qFormat/>
    <w:rsid w:val="00981568"/>
    <w:pPr>
      <w:snapToGrid w:val="0"/>
      <w:spacing w:before="240" w:line="360" w:lineRule="auto"/>
    </w:pPr>
    <w:rPr>
      <w:rFonts w:ascii="Times New Roman" w:hAnsi="Times New Roman"/>
      <w:smallCaps/>
      <w:kern w:val="28"/>
      <w:sz w:val="24"/>
      <w:lang w:val="en-US" w:eastAsia="en-US"/>
    </w:rPr>
  </w:style>
  <w:style w:type="paragraph" w:customStyle="1" w:styleId="ArticleTitle">
    <w:name w:val="Article_Title"/>
    <w:qFormat/>
    <w:rsid w:val="00981568"/>
    <w:pPr>
      <w:snapToGrid w:val="0"/>
      <w:spacing w:before="120" w:after="120" w:line="360" w:lineRule="auto"/>
      <w:jc w:val="center"/>
    </w:pPr>
    <w:rPr>
      <w:rFonts w:ascii="Times New Roman" w:hAnsi="Times New Roman"/>
      <w:b/>
      <w:kern w:val="28"/>
      <w:sz w:val="28"/>
      <w:lang w:val="en-US" w:eastAsia="en-US"/>
    </w:rPr>
  </w:style>
  <w:style w:type="paragraph" w:customStyle="1" w:styleId="Authors">
    <w:name w:val="Authors"/>
    <w:qFormat/>
    <w:rsid w:val="00981568"/>
    <w:pPr>
      <w:snapToGrid w:val="0"/>
      <w:spacing w:before="240" w:line="360" w:lineRule="auto"/>
      <w:jc w:val="center"/>
    </w:pPr>
    <w:rPr>
      <w:rFonts w:ascii="Times New Roman" w:hAnsi="Times New Roman"/>
      <w:sz w:val="24"/>
      <w:lang w:val="en-US" w:eastAsia="en-US"/>
    </w:rPr>
  </w:style>
  <w:style w:type="character" w:customStyle="1" w:styleId="FooterChar1">
    <w:name w:val="Footer Char1"/>
    <w:basedOn w:val="DefaultParagraphFont"/>
    <w:uiPriority w:val="99"/>
    <w:semiHidden/>
    <w:rsid w:val="00396359"/>
    <w:rPr>
      <w:rFonts w:ascii="Times New Roman" w:hAnsi="Times New Roman" w:cs="Times New Roman"/>
      <w:lang w:val="en-US" w:eastAsia="en-US"/>
    </w:rPr>
  </w:style>
  <w:style w:type="character" w:customStyle="1" w:styleId="HeaderChar1">
    <w:name w:val="Header Char1"/>
    <w:basedOn w:val="DefaultParagraphFont"/>
    <w:uiPriority w:val="99"/>
    <w:semiHidden/>
    <w:rsid w:val="00396359"/>
    <w:rPr>
      <w:rFonts w:ascii="Times New Roman" w:hAnsi="Times New Roman" w:cs="Times New Roman"/>
      <w:lang w:val="en-US" w:eastAsia="en-US"/>
    </w:rPr>
  </w:style>
  <w:style w:type="character" w:customStyle="1" w:styleId="BalloonTextChar1">
    <w:name w:val="Balloon Text Char1"/>
    <w:basedOn w:val="DefaultParagraphFont"/>
    <w:uiPriority w:val="99"/>
    <w:semiHidden/>
    <w:rsid w:val="00396359"/>
    <w:rPr>
      <w:rFonts w:ascii="Tahoma" w:hAnsi="Tahoma" w:cs="Tahoma"/>
      <w:sz w:val="16"/>
      <w:szCs w:val="16"/>
      <w:lang w:val="en-US" w:eastAsia="en-US"/>
    </w:rPr>
  </w:style>
  <w:style w:type="character" w:customStyle="1" w:styleId="CommentSubjectChar1">
    <w:name w:val="Comment Subject Char1"/>
    <w:basedOn w:val="DefaultParagraphFont"/>
    <w:uiPriority w:val="99"/>
    <w:semiHidden/>
    <w:rsid w:val="00F40BAD"/>
    <w:rPr>
      <w:rFonts w:ascii="Times New Roman" w:hAnsi="Times New Roman" w:cs="Times New Roman"/>
      <w:b/>
      <w:bCs/>
      <w:lang w:val="en-US" w:eastAsia="en-US"/>
    </w:rPr>
  </w:style>
  <w:style w:type="paragraph" w:customStyle="1" w:styleId="AppendixTitle">
    <w:name w:val="Appendix Title"/>
    <w:rsid w:val="00981568"/>
    <w:pPr>
      <w:snapToGrid w:val="0"/>
      <w:spacing w:before="240" w:line="360" w:lineRule="auto"/>
      <w:jc w:val="center"/>
    </w:pPr>
    <w:rPr>
      <w:rFonts w:ascii="Times New Roman" w:hAnsi="Times New Roman"/>
      <w:b/>
      <w:kern w:val="28"/>
      <w:sz w:val="24"/>
      <w:szCs w:val="24"/>
      <w:lang w:val="en-US" w:eastAsia="en-US"/>
    </w:rPr>
  </w:style>
  <w:style w:type="paragraph" w:customStyle="1" w:styleId="H4">
    <w:name w:val="H4"/>
    <w:qFormat/>
    <w:rsid w:val="00981568"/>
    <w:pPr>
      <w:snapToGrid w:val="0"/>
      <w:spacing w:before="240" w:line="360" w:lineRule="auto"/>
    </w:pPr>
    <w:rPr>
      <w:rFonts w:ascii="Times New Roman" w:hAnsi="Times New Roman"/>
      <w:i/>
      <w:kern w:val="28"/>
      <w:lang w:val="en-US" w:eastAsia="en-US"/>
    </w:rPr>
  </w:style>
  <w:style w:type="paragraph" w:customStyle="1" w:styleId="ComponentName2">
    <w:name w:val="Component Name 2"/>
    <w:next w:val="ParagraphText"/>
    <w:qFormat/>
    <w:rsid w:val="00981568"/>
    <w:pPr>
      <w:snapToGrid w:val="0"/>
      <w:spacing w:before="120" w:line="360" w:lineRule="auto"/>
      <w:outlineLvl w:val="0"/>
    </w:pPr>
    <w:rPr>
      <w:rFonts w:ascii="Times New Roman" w:hAnsi="Times New Roman"/>
      <w:i/>
      <w:kern w:val="28"/>
      <w:sz w:val="24"/>
      <w:lang w:val="en-US" w:eastAsia="en-US"/>
    </w:rPr>
  </w:style>
  <w:style w:type="character" w:customStyle="1" w:styleId="FooterChar11">
    <w:name w:val="Footer Char11"/>
    <w:basedOn w:val="DefaultParagraphFont"/>
    <w:uiPriority w:val="99"/>
    <w:semiHidden/>
    <w:rsid w:val="00396359"/>
    <w:rPr>
      <w:rFonts w:ascii="Times New Roman" w:hAnsi="Times New Roman" w:cs="Times New Roman"/>
      <w:lang w:val="en-US" w:eastAsia="en-US"/>
    </w:rPr>
  </w:style>
  <w:style w:type="character" w:customStyle="1" w:styleId="HeaderChar11">
    <w:name w:val="Header Char11"/>
    <w:basedOn w:val="DefaultParagraphFont"/>
    <w:uiPriority w:val="99"/>
    <w:semiHidden/>
    <w:rsid w:val="00396359"/>
    <w:rPr>
      <w:rFonts w:ascii="Times New Roman" w:hAnsi="Times New Roman" w:cs="Times New Roman"/>
      <w:lang w:val="en-US" w:eastAsia="en-US"/>
    </w:rPr>
  </w:style>
  <w:style w:type="character" w:customStyle="1" w:styleId="BalloonTextChar11">
    <w:name w:val="Balloon Text Char11"/>
    <w:basedOn w:val="DefaultParagraphFont"/>
    <w:uiPriority w:val="99"/>
    <w:semiHidden/>
    <w:rsid w:val="00396359"/>
    <w:rPr>
      <w:rFonts w:ascii="Tahoma" w:hAnsi="Tahoma" w:cs="Tahoma"/>
      <w:sz w:val="16"/>
      <w:szCs w:val="16"/>
      <w:lang w:val="en-US" w:eastAsia="en-US"/>
    </w:rPr>
  </w:style>
  <w:style w:type="character" w:customStyle="1" w:styleId="FooterChar14">
    <w:name w:val="Footer Char14"/>
    <w:basedOn w:val="DefaultParagraphFont"/>
    <w:uiPriority w:val="99"/>
    <w:semiHidden/>
    <w:rsid w:val="00A00069"/>
    <w:rPr>
      <w:rFonts w:ascii="Times New Roman" w:hAnsi="Times New Roman" w:cs="Times New Roman"/>
      <w:lang w:val="en-US" w:eastAsia="en-US"/>
    </w:rPr>
  </w:style>
  <w:style w:type="character" w:customStyle="1" w:styleId="HeaderChar14">
    <w:name w:val="Header Char14"/>
    <w:basedOn w:val="DefaultParagraphFont"/>
    <w:uiPriority w:val="99"/>
    <w:semiHidden/>
    <w:rsid w:val="00A00069"/>
    <w:rPr>
      <w:rFonts w:ascii="Times New Roman" w:hAnsi="Times New Roman" w:cs="Times New Roman"/>
      <w:lang w:val="en-US" w:eastAsia="en-US"/>
    </w:rPr>
  </w:style>
  <w:style w:type="character" w:customStyle="1" w:styleId="FooterChar12">
    <w:name w:val="Footer Char12"/>
    <w:basedOn w:val="DefaultParagraphFont"/>
    <w:uiPriority w:val="99"/>
    <w:semiHidden/>
    <w:rsid w:val="00B0142D"/>
    <w:rPr>
      <w:rFonts w:ascii="Times New Roman" w:hAnsi="Times New Roman" w:cs="Times New Roman"/>
      <w:lang w:val="en-US" w:eastAsia="en-US"/>
    </w:rPr>
  </w:style>
  <w:style w:type="character" w:customStyle="1" w:styleId="HeaderChar12">
    <w:name w:val="Header Char12"/>
    <w:basedOn w:val="DefaultParagraphFont"/>
    <w:uiPriority w:val="99"/>
    <w:semiHidden/>
    <w:rsid w:val="00B0142D"/>
    <w:rPr>
      <w:rFonts w:ascii="Times New Roman" w:hAnsi="Times New Roman" w:cs="Times New Roman"/>
      <w:lang w:val="en-US" w:eastAsia="en-US"/>
    </w:rPr>
  </w:style>
  <w:style w:type="character" w:customStyle="1" w:styleId="BalloonTextChar12">
    <w:name w:val="Balloon Text Char12"/>
    <w:basedOn w:val="DefaultParagraphFont"/>
    <w:uiPriority w:val="99"/>
    <w:semiHidden/>
    <w:rsid w:val="00B0142D"/>
    <w:rPr>
      <w:rFonts w:ascii="Tahoma" w:hAnsi="Tahoma" w:cs="Tahoma"/>
      <w:sz w:val="16"/>
      <w:szCs w:val="16"/>
      <w:lang w:val="en-US" w:eastAsia="en-US"/>
    </w:rPr>
  </w:style>
  <w:style w:type="character" w:customStyle="1" w:styleId="FooterChar13">
    <w:name w:val="Footer Char13"/>
    <w:basedOn w:val="DefaultParagraphFont"/>
    <w:uiPriority w:val="99"/>
    <w:semiHidden/>
    <w:rsid w:val="00BD2DDE"/>
    <w:rPr>
      <w:rFonts w:ascii="Times New Roman" w:hAnsi="Times New Roman" w:cs="Times New Roman"/>
      <w:lang w:val="en-US" w:eastAsia="en-US"/>
    </w:rPr>
  </w:style>
  <w:style w:type="character" w:customStyle="1" w:styleId="HeaderChar13">
    <w:name w:val="Header Char13"/>
    <w:basedOn w:val="DefaultParagraphFont"/>
    <w:uiPriority w:val="99"/>
    <w:semiHidden/>
    <w:rsid w:val="00BD2DDE"/>
    <w:rPr>
      <w:rFonts w:ascii="Times New Roman" w:hAnsi="Times New Roman" w:cs="Times New Roman"/>
      <w:lang w:val="en-US" w:eastAsia="en-US"/>
    </w:rPr>
  </w:style>
  <w:style w:type="character" w:customStyle="1" w:styleId="BalloonTextChar13">
    <w:name w:val="Balloon Text Char13"/>
    <w:basedOn w:val="DefaultParagraphFont"/>
    <w:uiPriority w:val="99"/>
    <w:semiHidden/>
    <w:rsid w:val="00BD2DDE"/>
    <w:rPr>
      <w:rFonts w:ascii="Tahoma" w:hAnsi="Tahoma" w:cs="Tahoma"/>
      <w:sz w:val="16"/>
      <w:szCs w:val="16"/>
      <w:lang w:val="en-US" w:eastAsia="en-US"/>
    </w:rPr>
  </w:style>
  <w:style w:type="character" w:customStyle="1" w:styleId="BalloonTextChar14">
    <w:name w:val="Balloon Text Char14"/>
    <w:basedOn w:val="DefaultParagraphFont"/>
    <w:uiPriority w:val="99"/>
    <w:semiHidden/>
    <w:rsid w:val="00A00069"/>
    <w:rPr>
      <w:rFonts w:ascii="Tahoma" w:hAnsi="Tahoma" w:cs="Tahoma"/>
      <w:sz w:val="16"/>
      <w:szCs w:val="16"/>
      <w:lang w:val="en-US" w:eastAsia="en-US"/>
    </w:rPr>
  </w:style>
  <w:style w:type="character" w:customStyle="1" w:styleId="FooterChar17">
    <w:name w:val="Footer Char17"/>
    <w:basedOn w:val="DefaultParagraphFont"/>
    <w:uiPriority w:val="99"/>
    <w:semiHidden/>
    <w:rsid w:val="00BB37D3"/>
    <w:rPr>
      <w:rFonts w:ascii="Times New Roman" w:hAnsi="Times New Roman" w:cs="Times New Roman"/>
      <w:lang w:val="en-US" w:eastAsia="en-US"/>
    </w:rPr>
  </w:style>
  <w:style w:type="character" w:customStyle="1" w:styleId="HeaderChar17">
    <w:name w:val="Header Char17"/>
    <w:basedOn w:val="DefaultParagraphFont"/>
    <w:uiPriority w:val="99"/>
    <w:semiHidden/>
    <w:rsid w:val="00BB37D3"/>
    <w:rPr>
      <w:rFonts w:ascii="Times New Roman" w:hAnsi="Times New Roman" w:cs="Times New Roman"/>
      <w:lang w:val="en-US" w:eastAsia="en-US"/>
    </w:rPr>
  </w:style>
  <w:style w:type="character" w:customStyle="1" w:styleId="FooterChar15">
    <w:name w:val="Footer Char15"/>
    <w:basedOn w:val="DefaultParagraphFont"/>
    <w:uiPriority w:val="99"/>
    <w:semiHidden/>
    <w:rsid w:val="005F1D1E"/>
    <w:rPr>
      <w:rFonts w:ascii="Times New Roman" w:hAnsi="Times New Roman" w:cs="Times New Roman"/>
      <w:lang w:val="en-US" w:eastAsia="en-US"/>
    </w:rPr>
  </w:style>
  <w:style w:type="character" w:customStyle="1" w:styleId="HeaderChar15">
    <w:name w:val="Header Char15"/>
    <w:basedOn w:val="DefaultParagraphFont"/>
    <w:uiPriority w:val="99"/>
    <w:semiHidden/>
    <w:rsid w:val="005F1D1E"/>
    <w:rPr>
      <w:rFonts w:ascii="Times New Roman" w:hAnsi="Times New Roman" w:cs="Times New Roman"/>
      <w:lang w:val="en-US" w:eastAsia="en-US"/>
    </w:rPr>
  </w:style>
  <w:style w:type="character" w:customStyle="1" w:styleId="BalloonTextChar15">
    <w:name w:val="Balloon Text Char15"/>
    <w:basedOn w:val="DefaultParagraphFont"/>
    <w:uiPriority w:val="99"/>
    <w:semiHidden/>
    <w:rsid w:val="005F1D1E"/>
    <w:rPr>
      <w:rFonts w:ascii="Tahoma" w:hAnsi="Tahoma" w:cs="Tahoma"/>
      <w:sz w:val="16"/>
      <w:szCs w:val="16"/>
      <w:lang w:val="en-US" w:eastAsia="en-US"/>
    </w:rPr>
  </w:style>
  <w:style w:type="character" w:customStyle="1" w:styleId="FooterChar16">
    <w:name w:val="Footer Char16"/>
    <w:basedOn w:val="DefaultParagraphFont"/>
    <w:uiPriority w:val="99"/>
    <w:semiHidden/>
    <w:rsid w:val="000C1FF8"/>
    <w:rPr>
      <w:rFonts w:ascii="Times New Roman" w:hAnsi="Times New Roman" w:cs="Times New Roman"/>
      <w:lang w:val="en-US" w:eastAsia="en-US"/>
    </w:rPr>
  </w:style>
  <w:style w:type="character" w:customStyle="1" w:styleId="HeaderChar16">
    <w:name w:val="Header Char16"/>
    <w:basedOn w:val="DefaultParagraphFont"/>
    <w:uiPriority w:val="99"/>
    <w:semiHidden/>
    <w:rsid w:val="000C1FF8"/>
    <w:rPr>
      <w:rFonts w:ascii="Times New Roman" w:hAnsi="Times New Roman" w:cs="Times New Roman"/>
      <w:lang w:val="en-US" w:eastAsia="en-US"/>
    </w:rPr>
  </w:style>
  <w:style w:type="character" w:customStyle="1" w:styleId="BalloonTextChar16">
    <w:name w:val="Balloon Text Char16"/>
    <w:basedOn w:val="DefaultParagraphFont"/>
    <w:uiPriority w:val="99"/>
    <w:semiHidden/>
    <w:rsid w:val="000C1FF8"/>
    <w:rPr>
      <w:rFonts w:ascii="Tahoma" w:hAnsi="Tahoma" w:cs="Tahoma"/>
      <w:sz w:val="16"/>
      <w:szCs w:val="16"/>
      <w:lang w:val="en-US" w:eastAsia="en-US"/>
    </w:rPr>
  </w:style>
  <w:style w:type="character" w:customStyle="1" w:styleId="BalloonTextChar17">
    <w:name w:val="Balloon Text Char17"/>
    <w:basedOn w:val="DefaultParagraphFont"/>
    <w:uiPriority w:val="99"/>
    <w:semiHidden/>
    <w:rsid w:val="00BB37D3"/>
    <w:rPr>
      <w:rFonts w:ascii="Tahoma" w:hAnsi="Tahoma" w:cs="Tahoma"/>
      <w:sz w:val="16"/>
      <w:szCs w:val="16"/>
      <w:lang w:val="en-US" w:eastAsia="en-US"/>
    </w:rPr>
  </w:style>
  <w:style w:type="paragraph" w:styleId="Bibliography">
    <w:name w:val="Bibliography"/>
    <w:basedOn w:val="Normal"/>
    <w:next w:val="Normal"/>
    <w:uiPriority w:val="37"/>
    <w:semiHidden/>
    <w:unhideWhenUsed/>
    <w:rsid w:val="0083378B"/>
  </w:style>
  <w:style w:type="paragraph" w:styleId="BlockText">
    <w:name w:val="Block Text"/>
    <w:basedOn w:val="Normal"/>
    <w:uiPriority w:val="99"/>
    <w:semiHidden/>
    <w:unhideWhenUsed/>
    <w:rsid w:val="008337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83378B"/>
  </w:style>
  <w:style w:type="character" w:customStyle="1" w:styleId="BodyTextChar">
    <w:name w:val="Body Text Char"/>
    <w:basedOn w:val="DefaultParagraphFont"/>
    <w:link w:val="BodyText"/>
    <w:uiPriority w:val="99"/>
    <w:semiHidden/>
    <w:rsid w:val="0083378B"/>
    <w:rPr>
      <w:rFonts w:ascii="Times New Roman" w:hAnsi="Times New Roman"/>
      <w:lang w:val="en-US" w:eastAsia="en-US"/>
    </w:rPr>
  </w:style>
  <w:style w:type="paragraph" w:styleId="BodyText2">
    <w:name w:val="Body Text 2"/>
    <w:basedOn w:val="Normal"/>
    <w:link w:val="BodyText2Char"/>
    <w:uiPriority w:val="99"/>
    <w:semiHidden/>
    <w:unhideWhenUsed/>
    <w:rsid w:val="0083378B"/>
  </w:style>
  <w:style w:type="character" w:customStyle="1" w:styleId="BodyText2Char">
    <w:name w:val="Body Text 2 Char"/>
    <w:basedOn w:val="DefaultParagraphFont"/>
    <w:link w:val="BodyText2"/>
    <w:uiPriority w:val="99"/>
    <w:semiHidden/>
    <w:rsid w:val="0083378B"/>
    <w:rPr>
      <w:rFonts w:ascii="Times New Roman" w:hAnsi="Times New Roman"/>
      <w:lang w:val="en-US" w:eastAsia="en-US"/>
    </w:rPr>
  </w:style>
  <w:style w:type="paragraph" w:styleId="BodyText3">
    <w:name w:val="Body Text 3"/>
    <w:basedOn w:val="Normal"/>
    <w:link w:val="BodyText3Char"/>
    <w:uiPriority w:val="99"/>
    <w:semiHidden/>
    <w:unhideWhenUsed/>
    <w:rsid w:val="0083378B"/>
    <w:rPr>
      <w:sz w:val="16"/>
      <w:szCs w:val="16"/>
    </w:rPr>
  </w:style>
  <w:style w:type="character" w:customStyle="1" w:styleId="BodyText3Char">
    <w:name w:val="Body Text 3 Char"/>
    <w:basedOn w:val="DefaultParagraphFont"/>
    <w:link w:val="BodyText3"/>
    <w:uiPriority w:val="99"/>
    <w:semiHidden/>
    <w:rsid w:val="0083378B"/>
    <w:rPr>
      <w:rFonts w:ascii="Times New Roman" w:hAnsi="Times New Roman"/>
      <w:sz w:val="16"/>
      <w:szCs w:val="16"/>
      <w:lang w:val="en-US" w:eastAsia="en-US"/>
    </w:rPr>
  </w:style>
  <w:style w:type="paragraph" w:styleId="BodyTextFirstIndent">
    <w:name w:val="Body Text First Indent"/>
    <w:basedOn w:val="BodyText"/>
    <w:link w:val="BodyTextFirstIndentChar"/>
    <w:uiPriority w:val="99"/>
    <w:semiHidden/>
    <w:unhideWhenUsed/>
    <w:rsid w:val="0083378B"/>
    <w:pPr>
      <w:spacing w:after="0"/>
    </w:pPr>
  </w:style>
  <w:style w:type="character" w:customStyle="1" w:styleId="BodyTextFirstIndentChar">
    <w:name w:val="Body Text First Indent Char"/>
    <w:basedOn w:val="BodyTextChar"/>
    <w:link w:val="BodyTextFirstIndent"/>
    <w:uiPriority w:val="99"/>
    <w:semiHidden/>
    <w:rsid w:val="0083378B"/>
    <w:rPr>
      <w:rFonts w:ascii="Times New Roman" w:hAnsi="Times New Roman"/>
      <w:lang w:val="en-US" w:eastAsia="en-US"/>
    </w:rPr>
  </w:style>
  <w:style w:type="paragraph" w:styleId="BodyTextIndent">
    <w:name w:val="Body Text Indent"/>
    <w:basedOn w:val="Normal"/>
    <w:link w:val="BodyTextIndentChar"/>
    <w:uiPriority w:val="99"/>
    <w:semiHidden/>
    <w:unhideWhenUsed/>
    <w:rsid w:val="0083378B"/>
    <w:pPr>
      <w:ind w:left="283"/>
    </w:pPr>
  </w:style>
  <w:style w:type="character" w:customStyle="1" w:styleId="BodyTextIndentChar">
    <w:name w:val="Body Text Indent Char"/>
    <w:basedOn w:val="DefaultParagraphFont"/>
    <w:link w:val="BodyTextIndent"/>
    <w:uiPriority w:val="99"/>
    <w:semiHidden/>
    <w:rsid w:val="0083378B"/>
    <w:rPr>
      <w:rFonts w:ascii="Times New Roman" w:hAnsi="Times New Roman"/>
      <w:lang w:val="en-US" w:eastAsia="en-US"/>
    </w:rPr>
  </w:style>
  <w:style w:type="paragraph" w:styleId="BodyTextFirstIndent2">
    <w:name w:val="Body Text First Indent 2"/>
    <w:basedOn w:val="BodyTextIndent"/>
    <w:link w:val="BodyTextFirstIndent2Char"/>
    <w:uiPriority w:val="99"/>
    <w:semiHidden/>
    <w:unhideWhenUsed/>
    <w:rsid w:val="0083378B"/>
    <w:pPr>
      <w:spacing w:after="0"/>
      <w:ind w:left="360"/>
    </w:pPr>
  </w:style>
  <w:style w:type="character" w:customStyle="1" w:styleId="BodyTextFirstIndent2Char">
    <w:name w:val="Body Text First Indent 2 Char"/>
    <w:basedOn w:val="BodyTextIndentChar"/>
    <w:link w:val="BodyTextFirstIndent2"/>
    <w:uiPriority w:val="99"/>
    <w:semiHidden/>
    <w:rsid w:val="0083378B"/>
    <w:rPr>
      <w:rFonts w:ascii="Times New Roman" w:hAnsi="Times New Roman"/>
      <w:lang w:val="en-US" w:eastAsia="en-US"/>
    </w:rPr>
  </w:style>
  <w:style w:type="paragraph" w:styleId="BodyTextIndent2">
    <w:name w:val="Body Text Indent 2"/>
    <w:basedOn w:val="Normal"/>
    <w:link w:val="BodyTextIndent2Char"/>
    <w:uiPriority w:val="99"/>
    <w:semiHidden/>
    <w:unhideWhenUsed/>
    <w:rsid w:val="0083378B"/>
    <w:pPr>
      <w:ind w:left="283"/>
    </w:pPr>
  </w:style>
  <w:style w:type="character" w:customStyle="1" w:styleId="BodyTextIndent2Char">
    <w:name w:val="Body Text Indent 2 Char"/>
    <w:basedOn w:val="DefaultParagraphFont"/>
    <w:link w:val="BodyTextIndent2"/>
    <w:uiPriority w:val="99"/>
    <w:semiHidden/>
    <w:rsid w:val="0083378B"/>
    <w:rPr>
      <w:rFonts w:ascii="Times New Roman" w:hAnsi="Times New Roman"/>
      <w:lang w:val="en-US" w:eastAsia="en-US"/>
    </w:rPr>
  </w:style>
  <w:style w:type="paragraph" w:styleId="BodyTextIndent3">
    <w:name w:val="Body Text Indent 3"/>
    <w:basedOn w:val="Normal"/>
    <w:link w:val="BodyTextIndent3Char"/>
    <w:uiPriority w:val="99"/>
    <w:semiHidden/>
    <w:unhideWhenUsed/>
    <w:rsid w:val="0083378B"/>
    <w:pPr>
      <w:ind w:left="283"/>
    </w:pPr>
    <w:rPr>
      <w:sz w:val="16"/>
      <w:szCs w:val="16"/>
    </w:rPr>
  </w:style>
  <w:style w:type="character" w:customStyle="1" w:styleId="BodyTextIndent3Char">
    <w:name w:val="Body Text Indent 3 Char"/>
    <w:basedOn w:val="DefaultParagraphFont"/>
    <w:link w:val="BodyTextIndent3"/>
    <w:uiPriority w:val="99"/>
    <w:semiHidden/>
    <w:rsid w:val="0083378B"/>
    <w:rPr>
      <w:rFonts w:ascii="Times New Roman" w:hAnsi="Times New Roman"/>
      <w:sz w:val="16"/>
      <w:szCs w:val="16"/>
      <w:lang w:val="en-US" w:eastAsia="en-US"/>
    </w:rPr>
  </w:style>
  <w:style w:type="paragraph" w:styleId="Caption">
    <w:name w:val="caption"/>
    <w:basedOn w:val="ParagraphText"/>
    <w:next w:val="Normal"/>
    <w:uiPriority w:val="35"/>
    <w:unhideWhenUsed/>
    <w:rsid w:val="00E37E39"/>
    <w:pPr>
      <w:spacing w:line="240" w:lineRule="auto"/>
    </w:pPr>
  </w:style>
  <w:style w:type="paragraph" w:styleId="Closing">
    <w:name w:val="Closing"/>
    <w:basedOn w:val="Normal"/>
    <w:link w:val="ClosingChar"/>
    <w:uiPriority w:val="99"/>
    <w:semiHidden/>
    <w:unhideWhenUsed/>
    <w:rsid w:val="0083378B"/>
    <w:pPr>
      <w:ind w:left="4252"/>
    </w:pPr>
  </w:style>
  <w:style w:type="character" w:customStyle="1" w:styleId="ClosingChar">
    <w:name w:val="Closing Char"/>
    <w:basedOn w:val="DefaultParagraphFont"/>
    <w:link w:val="Closing"/>
    <w:uiPriority w:val="99"/>
    <w:semiHidden/>
    <w:rsid w:val="0083378B"/>
    <w:rPr>
      <w:rFonts w:ascii="Times New Roman" w:hAnsi="Times New Roman"/>
      <w:lang w:val="en-US" w:eastAsia="en-US"/>
    </w:rPr>
  </w:style>
  <w:style w:type="paragraph" w:styleId="DocumentMap">
    <w:name w:val="Document Map"/>
    <w:basedOn w:val="Normal"/>
    <w:link w:val="DocumentMapChar"/>
    <w:uiPriority w:val="99"/>
    <w:semiHidden/>
    <w:unhideWhenUsed/>
    <w:rsid w:val="0083378B"/>
    <w:rPr>
      <w:rFonts w:ascii="Tahoma" w:hAnsi="Tahoma" w:cs="Tahoma"/>
      <w:sz w:val="16"/>
      <w:szCs w:val="16"/>
    </w:rPr>
  </w:style>
  <w:style w:type="character" w:customStyle="1" w:styleId="DocumentMapChar">
    <w:name w:val="Document Map Char"/>
    <w:basedOn w:val="DefaultParagraphFont"/>
    <w:link w:val="DocumentMap"/>
    <w:uiPriority w:val="99"/>
    <w:semiHidden/>
    <w:rsid w:val="0083378B"/>
    <w:rPr>
      <w:rFonts w:ascii="Tahoma" w:hAnsi="Tahoma" w:cs="Tahoma"/>
      <w:sz w:val="16"/>
      <w:szCs w:val="16"/>
      <w:lang w:val="en-US" w:eastAsia="en-US"/>
    </w:rPr>
  </w:style>
  <w:style w:type="paragraph" w:styleId="E-mailSignature">
    <w:name w:val="E-mail Signature"/>
    <w:basedOn w:val="Normal"/>
    <w:link w:val="E-mailSignatureChar"/>
    <w:uiPriority w:val="99"/>
    <w:semiHidden/>
    <w:unhideWhenUsed/>
    <w:rsid w:val="0083378B"/>
  </w:style>
  <w:style w:type="character" w:customStyle="1" w:styleId="E-mailSignatureChar">
    <w:name w:val="E-mail Signature Char"/>
    <w:basedOn w:val="DefaultParagraphFont"/>
    <w:link w:val="E-mailSignature"/>
    <w:uiPriority w:val="99"/>
    <w:semiHidden/>
    <w:rsid w:val="0083378B"/>
    <w:rPr>
      <w:rFonts w:ascii="Times New Roman" w:hAnsi="Times New Roman"/>
      <w:lang w:val="en-US" w:eastAsia="en-US"/>
    </w:rPr>
  </w:style>
  <w:style w:type="paragraph" w:styleId="EndnoteText">
    <w:name w:val="endnote text"/>
    <w:basedOn w:val="Normal"/>
    <w:link w:val="EndnoteTextChar"/>
    <w:uiPriority w:val="99"/>
    <w:semiHidden/>
    <w:unhideWhenUsed/>
    <w:rsid w:val="0083378B"/>
  </w:style>
  <w:style w:type="character" w:customStyle="1" w:styleId="EndnoteTextChar">
    <w:name w:val="Endnote Text Char"/>
    <w:basedOn w:val="DefaultParagraphFont"/>
    <w:link w:val="EndnoteText"/>
    <w:uiPriority w:val="99"/>
    <w:semiHidden/>
    <w:rsid w:val="0083378B"/>
    <w:rPr>
      <w:rFonts w:ascii="Times New Roman" w:hAnsi="Times New Roman"/>
      <w:lang w:val="en-US" w:eastAsia="en-US"/>
    </w:rPr>
  </w:style>
  <w:style w:type="paragraph" w:styleId="EnvelopeAddress">
    <w:name w:val="envelope address"/>
    <w:basedOn w:val="Normal"/>
    <w:uiPriority w:val="99"/>
    <w:semiHidden/>
    <w:unhideWhenUsed/>
    <w:rsid w:val="0083378B"/>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83378B"/>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3378B"/>
    <w:rPr>
      <w:rFonts w:asciiTheme="majorHAnsi" w:eastAsiaTheme="majorEastAsia" w:hAnsiTheme="majorHAnsi" w:cstheme="majorBidi"/>
      <w:b/>
      <w:bCs/>
      <w:i/>
      <w:iCs/>
      <w:color w:val="4F81BD" w:themeColor="accent1"/>
      <w:lang w:val="en-US" w:eastAsia="en-US"/>
    </w:rPr>
  </w:style>
  <w:style w:type="character" w:customStyle="1" w:styleId="Heading5Char">
    <w:name w:val="Heading 5 Char"/>
    <w:basedOn w:val="DefaultParagraphFont"/>
    <w:link w:val="Heading5"/>
    <w:uiPriority w:val="9"/>
    <w:semiHidden/>
    <w:rsid w:val="0083378B"/>
    <w:rPr>
      <w:rFonts w:asciiTheme="majorHAnsi" w:eastAsiaTheme="majorEastAsia" w:hAnsiTheme="majorHAnsi" w:cstheme="majorBidi"/>
      <w:color w:val="243F60" w:themeColor="accent1" w:themeShade="7F"/>
      <w:lang w:val="en-US" w:eastAsia="en-US"/>
    </w:rPr>
  </w:style>
  <w:style w:type="character" w:customStyle="1" w:styleId="Heading6Char">
    <w:name w:val="Heading 6 Char"/>
    <w:basedOn w:val="DefaultParagraphFont"/>
    <w:link w:val="Heading6"/>
    <w:uiPriority w:val="9"/>
    <w:semiHidden/>
    <w:rsid w:val="0083378B"/>
    <w:rPr>
      <w:rFonts w:asciiTheme="majorHAnsi" w:eastAsiaTheme="majorEastAsia" w:hAnsiTheme="majorHAnsi" w:cstheme="majorBidi"/>
      <w:i/>
      <w:iCs/>
      <w:color w:val="243F60" w:themeColor="accent1" w:themeShade="7F"/>
      <w:lang w:val="en-US" w:eastAsia="en-US"/>
    </w:rPr>
  </w:style>
  <w:style w:type="character" w:customStyle="1" w:styleId="Heading7Char">
    <w:name w:val="Heading 7 Char"/>
    <w:basedOn w:val="DefaultParagraphFont"/>
    <w:link w:val="Heading7"/>
    <w:uiPriority w:val="9"/>
    <w:semiHidden/>
    <w:rsid w:val="0083378B"/>
    <w:rPr>
      <w:rFonts w:asciiTheme="majorHAnsi" w:eastAsiaTheme="majorEastAsia" w:hAnsiTheme="majorHAnsi" w:cstheme="majorBidi"/>
      <w:i/>
      <w:iCs/>
      <w:color w:val="404040" w:themeColor="text1" w:themeTint="BF"/>
      <w:lang w:val="en-US" w:eastAsia="en-US"/>
    </w:rPr>
  </w:style>
  <w:style w:type="character" w:customStyle="1" w:styleId="Heading8Char">
    <w:name w:val="Heading 8 Char"/>
    <w:basedOn w:val="DefaultParagraphFont"/>
    <w:link w:val="Heading8"/>
    <w:uiPriority w:val="9"/>
    <w:semiHidden/>
    <w:rsid w:val="0083378B"/>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83378B"/>
    <w:rPr>
      <w:rFonts w:asciiTheme="majorHAnsi" w:eastAsiaTheme="majorEastAsia" w:hAnsiTheme="majorHAnsi" w:cstheme="majorBidi"/>
      <w:i/>
      <w:iCs/>
      <w:color w:val="404040" w:themeColor="text1" w:themeTint="BF"/>
      <w:lang w:val="en-US" w:eastAsia="en-US"/>
    </w:rPr>
  </w:style>
  <w:style w:type="paragraph" w:styleId="HTMLAddress">
    <w:name w:val="HTML Address"/>
    <w:basedOn w:val="Normal"/>
    <w:link w:val="HTMLAddressChar"/>
    <w:uiPriority w:val="99"/>
    <w:semiHidden/>
    <w:unhideWhenUsed/>
    <w:rsid w:val="0083378B"/>
    <w:rPr>
      <w:i/>
      <w:iCs/>
    </w:rPr>
  </w:style>
  <w:style w:type="character" w:customStyle="1" w:styleId="HTMLAddressChar">
    <w:name w:val="HTML Address Char"/>
    <w:basedOn w:val="DefaultParagraphFont"/>
    <w:link w:val="HTMLAddress"/>
    <w:uiPriority w:val="99"/>
    <w:semiHidden/>
    <w:rsid w:val="0083378B"/>
    <w:rPr>
      <w:rFonts w:ascii="Times New Roman" w:hAnsi="Times New Roman"/>
      <w:i/>
      <w:iCs/>
      <w:lang w:val="en-US" w:eastAsia="en-US"/>
    </w:rPr>
  </w:style>
  <w:style w:type="paragraph" w:styleId="Index1">
    <w:name w:val="index 1"/>
    <w:basedOn w:val="Normal"/>
    <w:next w:val="Normal"/>
    <w:autoRedefine/>
    <w:uiPriority w:val="99"/>
    <w:semiHidden/>
    <w:unhideWhenUsed/>
    <w:rsid w:val="0083378B"/>
    <w:pPr>
      <w:ind w:left="200" w:hanging="200"/>
    </w:pPr>
  </w:style>
  <w:style w:type="paragraph" w:styleId="Index2">
    <w:name w:val="index 2"/>
    <w:basedOn w:val="Normal"/>
    <w:next w:val="Normal"/>
    <w:autoRedefine/>
    <w:uiPriority w:val="99"/>
    <w:semiHidden/>
    <w:unhideWhenUsed/>
    <w:rsid w:val="0083378B"/>
    <w:pPr>
      <w:ind w:left="400" w:hanging="200"/>
    </w:pPr>
  </w:style>
  <w:style w:type="paragraph" w:styleId="Index3">
    <w:name w:val="index 3"/>
    <w:basedOn w:val="Normal"/>
    <w:next w:val="Normal"/>
    <w:autoRedefine/>
    <w:uiPriority w:val="99"/>
    <w:semiHidden/>
    <w:unhideWhenUsed/>
    <w:rsid w:val="0083378B"/>
    <w:pPr>
      <w:ind w:left="600" w:hanging="200"/>
    </w:pPr>
  </w:style>
  <w:style w:type="paragraph" w:styleId="Index4">
    <w:name w:val="index 4"/>
    <w:basedOn w:val="Normal"/>
    <w:next w:val="Normal"/>
    <w:autoRedefine/>
    <w:uiPriority w:val="99"/>
    <w:semiHidden/>
    <w:unhideWhenUsed/>
    <w:rsid w:val="0083378B"/>
    <w:pPr>
      <w:ind w:left="800" w:hanging="200"/>
    </w:pPr>
  </w:style>
  <w:style w:type="paragraph" w:styleId="Index5">
    <w:name w:val="index 5"/>
    <w:basedOn w:val="Normal"/>
    <w:next w:val="Normal"/>
    <w:autoRedefine/>
    <w:uiPriority w:val="99"/>
    <w:semiHidden/>
    <w:unhideWhenUsed/>
    <w:rsid w:val="0083378B"/>
    <w:pPr>
      <w:ind w:left="1000" w:hanging="200"/>
    </w:pPr>
  </w:style>
  <w:style w:type="paragraph" w:styleId="Index6">
    <w:name w:val="index 6"/>
    <w:basedOn w:val="Normal"/>
    <w:next w:val="Normal"/>
    <w:autoRedefine/>
    <w:uiPriority w:val="99"/>
    <w:semiHidden/>
    <w:unhideWhenUsed/>
    <w:rsid w:val="0083378B"/>
    <w:pPr>
      <w:ind w:left="1200" w:hanging="200"/>
    </w:pPr>
  </w:style>
  <w:style w:type="paragraph" w:styleId="Index7">
    <w:name w:val="index 7"/>
    <w:basedOn w:val="Normal"/>
    <w:next w:val="Normal"/>
    <w:autoRedefine/>
    <w:uiPriority w:val="99"/>
    <w:semiHidden/>
    <w:unhideWhenUsed/>
    <w:rsid w:val="0083378B"/>
    <w:pPr>
      <w:ind w:left="1400" w:hanging="200"/>
    </w:pPr>
  </w:style>
  <w:style w:type="paragraph" w:styleId="Index8">
    <w:name w:val="index 8"/>
    <w:basedOn w:val="Normal"/>
    <w:next w:val="Normal"/>
    <w:autoRedefine/>
    <w:uiPriority w:val="99"/>
    <w:semiHidden/>
    <w:unhideWhenUsed/>
    <w:rsid w:val="0083378B"/>
    <w:pPr>
      <w:ind w:left="1600" w:hanging="200"/>
    </w:pPr>
  </w:style>
  <w:style w:type="paragraph" w:styleId="IndexHeading">
    <w:name w:val="index heading"/>
    <w:basedOn w:val="Normal"/>
    <w:next w:val="Index1"/>
    <w:uiPriority w:val="99"/>
    <w:semiHidden/>
    <w:unhideWhenUsed/>
    <w:rsid w:val="0083378B"/>
    <w:rPr>
      <w:rFonts w:asciiTheme="majorHAnsi" w:eastAsiaTheme="majorEastAsia" w:hAnsiTheme="majorHAnsi" w:cstheme="majorBidi"/>
      <w:b/>
      <w:bCs/>
    </w:rPr>
  </w:style>
  <w:style w:type="paragraph" w:styleId="List">
    <w:name w:val="List"/>
    <w:basedOn w:val="Normal"/>
    <w:uiPriority w:val="99"/>
    <w:semiHidden/>
    <w:unhideWhenUsed/>
    <w:rsid w:val="0083378B"/>
    <w:pPr>
      <w:ind w:left="283" w:hanging="283"/>
      <w:contextualSpacing/>
    </w:pPr>
  </w:style>
  <w:style w:type="paragraph" w:styleId="List2">
    <w:name w:val="List 2"/>
    <w:basedOn w:val="Normal"/>
    <w:uiPriority w:val="99"/>
    <w:semiHidden/>
    <w:unhideWhenUsed/>
    <w:rsid w:val="0083378B"/>
    <w:pPr>
      <w:ind w:left="566" w:hanging="283"/>
      <w:contextualSpacing/>
    </w:pPr>
  </w:style>
  <w:style w:type="paragraph" w:styleId="List3">
    <w:name w:val="List 3"/>
    <w:basedOn w:val="Normal"/>
    <w:uiPriority w:val="99"/>
    <w:semiHidden/>
    <w:unhideWhenUsed/>
    <w:rsid w:val="0083378B"/>
    <w:pPr>
      <w:ind w:left="849" w:hanging="283"/>
      <w:contextualSpacing/>
    </w:pPr>
  </w:style>
  <w:style w:type="paragraph" w:styleId="List4">
    <w:name w:val="List 4"/>
    <w:basedOn w:val="Normal"/>
    <w:uiPriority w:val="99"/>
    <w:semiHidden/>
    <w:unhideWhenUsed/>
    <w:rsid w:val="0083378B"/>
    <w:pPr>
      <w:ind w:left="1132" w:hanging="283"/>
      <w:contextualSpacing/>
    </w:pPr>
  </w:style>
  <w:style w:type="paragraph" w:styleId="List5">
    <w:name w:val="List 5"/>
    <w:basedOn w:val="Normal"/>
    <w:uiPriority w:val="99"/>
    <w:semiHidden/>
    <w:unhideWhenUsed/>
    <w:rsid w:val="0083378B"/>
    <w:pPr>
      <w:ind w:left="1415" w:hanging="283"/>
      <w:contextualSpacing/>
    </w:pPr>
  </w:style>
  <w:style w:type="paragraph" w:styleId="ListBullet">
    <w:name w:val="List Bullet"/>
    <w:basedOn w:val="Normal"/>
    <w:uiPriority w:val="99"/>
    <w:semiHidden/>
    <w:unhideWhenUsed/>
    <w:rsid w:val="0083378B"/>
    <w:pPr>
      <w:numPr>
        <w:numId w:val="10"/>
      </w:numPr>
      <w:contextualSpacing/>
    </w:pPr>
  </w:style>
  <w:style w:type="paragraph" w:styleId="ListBullet2">
    <w:name w:val="List Bullet 2"/>
    <w:basedOn w:val="Normal"/>
    <w:uiPriority w:val="99"/>
    <w:semiHidden/>
    <w:unhideWhenUsed/>
    <w:rsid w:val="0083378B"/>
    <w:pPr>
      <w:numPr>
        <w:numId w:val="11"/>
      </w:numPr>
      <w:contextualSpacing/>
    </w:pPr>
  </w:style>
  <w:style w:type="paragraph" w:styleId="ListBullet3">
    <w:name w:val="List Bullet 3"/>
    <w:basedOn w:val="Normal"/>
    <w:uiPriority w:val="99"/>
    <w:semiHidden/>
    <w:unhideWhenUsed/>
    <w:rsid w:val="0083378B"/>
    <w:pPr>
      <w:numPr>
        <w:numId w:val="12"/>
      </w:numPr>
      <w:contextualSpacing/>
    </w:pPr>
  </w:style>
  <w:style w:type="paragraph" w:styleId="ListBullet4">
    <w:name w:val="List Bullet 4"/>
    <w:basedOn w:val="Normal"/>
    <w:uiPriority w:val="99"/>
    <w:semiHidden/>
    <w:unhideWhenUsed/>
    <w:rsid w:val="0083378B"/>
    <w:pPr>
      <w:numPr>
        <w:numId w:val="13"/>
      </w:numPr>
      <w:contextualSpacing/>
    </w:pPr>
  </w:style>
  <w:style w:type="paragraph" w:styleId="ListBullet5">
    <w:name w:val="List Bullet 5"/>
    <w:basedOn w:val="Normal"/>
    <w:uiPriority w:val="99"/>
    <w:semiHidden/>
    <w:unhideWhenUsed/>
    <w:rsid w:val="0083378B"/>
    <w:pPr>
      <w:numPr>
        <w:numId w:val="14"/>
      </w:numPr>
      <w:contextualSpacing/>
    </w:pPr>
  </w:style>
  <w:style w:type="paragraph" w:styleId="ListContinue">
    <w:name w:val="List Continue"/>
    <w:basedOn w:val="Normal"/>
    <w:uiPriority w:val="99"/>
    <w:semiHidden/>
    <w:unhideWhenUsed/>
    <w:rsid w:val="0083378B"/>
    <w:pPr>
      <w:ind w:left="283"/>
      <w:contextualSpacing/>
    </w:pPr>
  </w:style>
  <w:style w:type="paragraph" w:styleId="ListContinue2">
    <w:name w:val="List Continue 2"/>
    <w:basedOn w:val="Normal"/>
    <w:uiPriority w:val="99"/>
    <w:semiHidden/>
    <w:unhideWhenUsed/>
    <w:rsid w:val="0083378B"/>
    <w:pPr>
      <w:ind w:left="566"/>
      <w:contextualSpacing/>
    </w:pPr>
  </w:style>
  <w:style w:type="paragraph" w:styleId="ListContinue3">
    <w:name w:val="List Continue 3"/>
    <w:basedOn w:val="Normal"/>
    <w:uiPriority w:val="99"/>
    <w:semiHidden/>
    <w:unhideWhenUsed/>
    <w:rsid w:val="0083378B"/>
    <w:pPr>
      <w:ind w:left="849"/>
      <w:contextualSpacing/>
    </w:pPr>
  </w:style>
  <w:style w:type="paragraph" w:styleId="ListContinue4">
    <w:name w:val="List Continue 4"/>
    <w:basedOn w:val="Normal"/>
    <w:uiPriority w:val="99"/>
    <w:semiHidden/>
    <w:unhideWhenUsed/>
    <w:rsid w:val="0083378B"/>
    <w:pPr>
      <w:ind w:left="1132"/>
      <w:contextualSpacing/>
    </w:pPr>
  </w:style>
  <w:style w:type="paragraph" w:styleId="ListContinue5">
    <w:name w:val="List Continue 5"/>
    <w:basedOn w:val="Normal"/>
    <w:uiPriority w:val="99"/>
    <w:semiHidden/>
    <w:unhideWhenUsed/>
    <w:rsid w:val="0083378B"/>
    <w:pPr>
      <w:ind w:left="1415"/>
      <w:contextualSpacing/>
    </w:pPr>
  </w:style>
  <w:style w:type="paragraph" w:styleId="ListNumber">
    <w:name w:val="List Number"/>
    <w:basedOn w:val="Normal"/>
    <w:uiPriority w:val="99"/>
    <w:semiHidden/>
    <w:unhideWhenUsed/>
    <w:rsid w:val="0083378B"/>
    <w:pPr>
      <w:numPr>
        <w:numId w:val="15"/>
      </w:numPr>
      <w:contextualSpacing/>
    </w:pPr>
  </w:style>
  <w:style w:type="paragraph" w:styleId="ListNumber2">
    <w:name w:val="List Number 2"/>
    <w:basedOn w:val="Normal"/>
    <w:uiPriority w:val="99"/>
    <w:semiHidden/>
    <w:unhideWhenUsed/>
    <w:rsid w:val="0083378B"/>
    <w:pPr>
      <w:numPr>
        <w:numId w:val="16"/>
      </w:numPr>
      <w:contextualSpacing/>
    </w:pPr>
  </w:style>
  <w:style w:type="paragraph" w:styleId="ListNumber3">
    <w:name w:val="List Number 3"/>
    <w:basedOn w:val="Normal"/>
    <w:uiPriority w:val="99"/>
    <w:semiHidden/>
    <w:unhideWhenUsed/>
    <w:rsid w:val="0083378B"/>
    <w:pPr>
      <w:numPr>
        <w:numId w:val="17"/>
      </w:numPr>
      <w:contextualSpacing/>
    </w:pPr>
  </w:style>
  <w:style w:type="paragraph" w:styleId="ListNumber4">
    <w:name w:val="List Number 4"/>
    <w:basedOn w:val="Normal"/>
    <w:uiPriority w:val="99"/>
    <w:semiHidden/>
    <w:unhideWhenUsed/>
    <w:rsid w:val="0083378B"/>
    <w:pPr>
      <w:numPr>
        <w:numId w:val="18"/>
      </w:numPr>
      <w:contextualSpacing/>
    </w:pPr>
  </w:style>
  <w:style w:type="paragraph" w:styleId="ListNumber5">
    <w:name w:val="List Number 5"/>
    <w:basedOn w:val="Normal"/>
    <w:uiPriority w:val="99"/>
    <w:semiHidden/>
    <w:unhideWhenUsed/>
    <w:rsid w:val="0083378B"/>
    <w:pPr>
      <w:numPr>
        <w:numId w:val="19"/>
      </w:numPr>
      <w:contextualSpacing/>
    </w:pPr>
  </w:style>
  <w:style w:type="paragraph" w:styleId="MacroText">
    <w:name w:val="macro"/>
    <w:link w:val="MacroTextChar"/>
    <w:uiPriority w:val="99"/>
    <w:semiHidden/>
    <w:unhideWhenUsed/>
    <w:rsid w:val="0083378B"/>
    <w:pPr>
      <w:tabs>
        <w:tab w:val="left" w:pos="480"/>
        <w:tab w:val="left" w:pos="960"/>
        <w:tab w:val="left" w:pos="1440"/>
        <w:tab w:val="left" w:pos="1920"/>
        <w:tab w:val="left" w:pos="2400"/>
        <w:tab w:val="left" w:pos="2880"/>
        <w:tab w:val="left" w:pos="3360"/>
        <w:tab w:val="left" w:pos="3840"/>
        <w:tab w:val="left" w:pos="4320"/>
      </w:tabs>
      <w:snapToGrid w:val="0"/>
    </w:pPr>
    <w:rPr>
      <w:rFonts w:ascii="Consolas" w:hAnsi="Consolas" w:cs="Consolas"/>
      <w:lang w:val="en-US" w:eastAsia="en-US"/>
    </w:rPr>
  </w:style>
  <w:style w:type="character" w:customStyle="1" w:styleId="MacroTextChar">
    <w:name w:val="Macro Text Char"/>
    <w:basedOn w:val="DefaultParagraphFont"/>
    <w:link w:val="MacroText"/>
    <w:uiPriority w:val="99"/>
    <w:semiHidden/>
    <w:rsid w:val="0083378B"/>
    <w:rPr>
      <w:rFonts w:ascii="Consolas" w:hAnsi="Consolas" w:cs="Consolas"/>
      <w:lang w:val="en-US" w:eastAsia="en-US"/>
    </w:rPr>
  </w:style>
  <w:style w:type="paragraph" w:styleId="MessageHeader">
    <w:name w:val="Message Header"/>
    <w:basedOn w:val="Normal"/>
    <w:link w:val="MessageHeaderChar"/>
    <w:uiPriority w:val="99"/>
    <w:semiHidden/>
    <w:unhideWhenUsed/>
    <w:rsid w:val="0083378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83378B"/>
    <w:rPr>
      <w:rFonts w:asciiTheme="majorHAnsi" w:eastAsiaTheme="majorEastAsia" w:hAnsiTheme="majorHAnsi" w:cstheme="majorBidi"/>
      <w:sz w:val="24"/>
      <w:szCs w:val="24"/>
      <w:shd w:val="pct20" w:color="auto" w:fill="auto"/>
      <w:lang w:val="en-US" w:eastAsia="en-US"/>
    </w:rPr>
  </w:style>
  <w:style w:type="paragraph" w:styleId="NormalIndent">
    <w:name w:val="Normal Indent"/>
    <w:basedOn w:val="Normal"/>
    <w:uiPriority w:val="99"/>
    <w:semiHidden/>
    <w:unhideWhenUsed/>
    <w:rsid w:val="0083378B"/>
    <w:pPr>
      <w:ind w:left="720"/>
    </w:pPr>
  </w:style>
  <w:style w:type="paragraph" w:styleId="NoteHeading">
    <w:name w:val="Note Heading"/>
    <w:basedOn w:val="Normal"/>
    <w:next w:val="Normal"/>
    <w:link w:val="NoteHeadingChar"/>
    <w:uiPriority w:val="99"/>
    <w:semiHidden/>
    <w:unhideWhenUsed/>
    <w:rsid w:val="0083378B"/>
  </w:style>
  <w:style w:type="character" w:customStyle="1" w:styleId="NoteHeadingChar">
    <w:name w:val="Note Heading Char"/>
    <w:basedOn w:val="DefaultParagraphFont"/>
    <w:link w:val="NoteHeading"/>
    <w:uiPriority w:val="99"/>
    <w:semiHidden/>
    <w:rsid w:val="0083378B"/>
    <w:rPr>
      <w:rFonts w:ascii="Times New Roman" w:hAnsi="Times New Roman"/>
      <w:lang w:val="en-US" w:eastAsia="en-US"/>
    </w:rPr>
  </w:style>
  <w:style w:type="paragraph" w:styleId="PlainText">
    <w:name w:val="Plain Text"/>
    <w:basedOn w:val="Normal"/>
    <w:link w:val="PlainTextChar"/>
    <w:uiPriority w:val="99"/>
    <w:semiHidden/>
    <w:unhideWhenUsed/>
    <w:rsid w:val="0083378B"/>
    <w:rPr>
      <w:rFonts w:ascii="Consolas" w:hAnsi="Consolas" w:cs="Consolas"/>
      <w:sz w:val="21"/>
      <w:szCs w:val="21"/>
    </w:rPr>
  </w:style>
  <w:style w:type="character" w:customStyle="1" w:styleId="PlainTextChar">
    <w:name w:val="Plain Text Char"/>
    <w:basedOn w:val="DefaultParagraphFont"/>
    <w:link w:val="PlainText"/>
    <w:uiPriority w:val="99"/>
    <w:semiHidden/>
    <w:rsid w:val="0083378B"/>
    <w:rPr>
      <w:rFonts w:ascii="Consolas" w:hAnsi="Consolas" w:cs="Consolas"/>
      <w:sz w:val="21"/>
      <w:szCs w:val="21"/>
      <w:lang w:val="en-US" w:eastAsia="en-US"/>
    </w:rPr>
  </w:style>
  <w:style w:type="paragraph" w:styleId="Signature">
    <w:name w:val="Signature"/>
    <w:basedOn w:val="Normal"/>
    <w:link w:val="SignatureChar"/>
    <w:uiPriority w:val="99"/>
    <w:semiHidden/>
    <w:unhideWhenUsed/>
    <w:rsid w:val="0083378B"/>
    <w:pPr>
      <w:ind w:left="4252"/>
    </w:pPr>
  </w:style>
  <w:style w:type="character" w:customStyle="1" w:styleId="SignatureChar">
    <w:name w:val="Signature Char"/>
    <w:basedOn w:val="DefaultParagraphFont"/>
    <w:link w:val="Signature"/>
    <w:uiPriority w:val="99"/>
    <w:semiHidden/>
    <w:rsid w:val="0083378B"/>
    <w:rPr>
      <w:rFonts w:ascii="Times New Roman" w:hAnsi="Times New Roman"/>
      <w:lang w:val="en-US" w:eastAsia="en-US"/>
    </w:rPr>
  </w:style>
  <w:style w:type="paragraph" w:styleId="TableofAuthorities">
    <w:name w:val="table of authorities"/>
    <w:basedOn w:val="Normal"/>
    <w:next w:val="Normal"/>
    <w:uiPriority w:val="99"/>
    <w:semiHidden/>
    <w:unhideWhenUsed/>
    <w:rsid w:val="0083378B"/>
    <w:pPr>
      <w:ind w:left="200" w:hanging="200"/>
    </w:pPr>
  </w:style>
  <w:style w:type="paragraph" w:styleId="TableofFigures">
    <w:name w:val="table of figures"/>
    <w:basedOn w:val="Normal"/>
    <w:next w:val="Normal"/>
    <w:uiPriority w:val="99"/>
    <w:semiHidden/>
    <w:unhideWhenUsed/>
    <w:rsid w:val="0083378B"/>
  </w:style>
  <w:style w:type="paragraph" w:styleId="TOAHeading">
    <w:name w:val="toa heading"/>
    <w:basedOn w:val="Normal"/>
    <w:next w:val="Normal"/>
    <w:uiPriority w:val="99"/>
    <w:semiHidden/>
    <w:unhideWhenUsed/>
    <w:rsid w:val="0083378B"/>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83378B"/>
    <w:pPr>
      <w:spacing w:after="100"/>
    </w:pPr>
  </w:style>
  <w:style w:type="paragraph" w:styleId="TOC2">
    <w:name w:val="toc 2"/>
    <w:basedOn w:val="Normal"/>
    <w:next w:val="Normal"/>
    <w:autoRedefine/>
    <w:uiPriority w:val="39"/>
    <w:semiHidden/>
    <w:unhideWhenUsed/>
    <w:rsid w:val="0083378B"/>
    <w:pPr>
      <w:spacing w:after="100"/>
      <w:ind w:left="200"/>
    </w:pPr>
  </w:style>
  <w:style w:type="paragraph" w:styleId="TOC3">
    <w:name w:val="toc 3"/>
    <w:basedOn w:val="Normal"/>
    <w:next w:val="Normal"/>
    <w:autoRedefine/>
    <w:uiPriority w:val="39"/>
    <w:semiHidden/>
    <w:unhideWhenUsed/>
    <w:rsid w:val="0083378B"/>
    <w:pPr>
      <w:spacing w:after="100"/>
      <w:ind w:left="400"/>
    </w:pPr>
  </w:style>
  <w:style w:type="paragraph" w:styleId="TOC4">
    <w:name w:val="toc 4"/>
    <w:basedOn w:val="Normal"/>
    <w:next w:val="Normal"/>
    <w:autoRedefine/>
    <w:uiPriority w:val="39"/>
    <w:semiHidden/>
    <w:unhideWhenUsed/>
    <w:rsid w:val="0083378B"/>
    <w:pPr>
      <w:spacing w:after="100"/>
      <w:ind w:left="600"/>
    </w:pPr>
  </w:style>
  <w:style w:type="paragraph" w:styleId="TOC5">
    <w:name w:val="toc 5"/>
    <w:basedOn w:val="Normal"/>
    <w:next w:val="Normal"/>
    <w:autoRedefine/>
    <w:uiPriority w:val="39"/>
    <w:semiHidden/>
    <w:unhideWhenUsed/>
    <w:rsid w:val="0083378B"/>
    <w:pPr>
      <w:spacing w:after="100"/>
      <w:ind w:left="800"/>
    </w:pPr>
  </w:style>
  <w:style w:type="paragraph" w:styleId="TOC6">
    <w:name w:val="toc 6"/>
    <w:basedOn w:val="Normal"/>
    <w:next w:val="Normal"/>
    <w:autoRedefine/>
    <w:uiPriority w:val="39"/>
    <w:semiHidden/>
    <w:unhideWhenUsed/>
    <w:rsid w:val="0083378B"/>
    <w:pPr>
      <w:spacing w:after="100"/>
      <w:ind w:left="1000"/>
    </w:pPr>
  </w:style>
  <w:style w:type="paragraph" w:styleId="TOC7">
    <w:name w:val="toc 7"/>
    <w:basedOn w:val="Normal"/>
    <w:next w:val="Normal"/>
    <w:autoRedefine/>
    <w:uiPriority w:val="39"/>
    <w:semiHidden/>
    <w:unhideWhenUsed/>
    <w:rsid w:val="0083378B"/>
    <w:pPr>
      <w:spacing w:after="100"/>
      <w:ind w:left="1200"/>
    </w:pPr>
  </w:style>
  <w:style w:type="paragraph" w:styleId="TOC8">
    <w:name w:val="toc 8"/>
    <w:basedOn w:val="Normal"/>
    <w:next w:val="Normal"/>
    <w:autoRedefine/>
    <w:uiPriority w:val="39"/>
    <w:semiHidden/>
    <w:unhideWhenUsed/>
    <w:rsid w:val="0083378B"/>
    <w:pPr>
      <w:spacing w:after="100"/>
      <w:ind w:left="1400"/>
    </w:pPr>
  </w:style>
  <w:style w:type="paragraph" w:styleId="TOC9">
    <w:name w:val="toc 9"/>
    <w:basedOn w:val="Normal"/>
    <w:next w:val="Normal"/>
    <w:autoRedefine/>
    <w:uiPriority w:val="39"/>
    <w:semiHidden/>
    <w:unhideWhenUsed/>
    <w:rsid w:val="0083378B"/>
    <w:pPr>
      <w:spacing w:after="100"/>
      <w:ind w:left="1600"/>
    </w:pPr>
  </w:style>
  <w:style w:type="paragraph" w:styleId="TOCHeading">
    <w:name w:val="TOC Heading"/>
    <w:basedOn w:val="Heading1"/>
    <w:next w:val="Normal"/>
    <w:uiPriority w:val="39"/>
    <w:semiHidden/>
    <w:unhideWhenUsed/>
    <w:qFormat/>
    <w:rsid w:val="0083378B"/>
    <w:pPr>
      <w:keepLines/>
      <w:spacing w:before="480"/>
      <w:outlineLvl w:val="9"/>
    </w:pPr>
    <w:rPr>
      <w:rFonts w:asciiTheme="majorHAnsi" w:eastAsiaTheme="majorEastAsia" w:hAnsiTheme="majorHAnsi" w:cstheme="majorBidi"/>
      <w:color w:val="365F91" w:themeColor="accent1" w:themeShade="BF"/>
      <w:kern w:val="0"/>
      <w:szCs w:val="28"/>
    </w:rPr>
  </w:style>
  <w:style w:type="character" w:customStyle="1" w:styleId="UnresolvedMention1">
    <w:name w:val="Unresolved Mention1"/>
    <w:basedOn w:val="DefaultParagraphFont"/>
    <w:uiPriority w:val="99"/>
    <w:semiHidden/>
    <w:unhideWhenUsed/>
    <w:rsid w:val="004C48FC"/>
    <w:rPr>
      <w:color w:val="605E5C"/>
      <w:shd w:val="clear" w:color="auto" w:fill="E1DFDD"/>
    </w:rPr>
  </w:style>
  <w:style w:type="paragraph" w:styleId="CommentText">
    <w:name w:val="annotation text"/>
    <w:basedOn w:val="Normal"/>
    <w:link w:val="CommentTextChar"/>
    <w:uiPriority w:val="99"/>
    <w:pPr>
      <w:spacing w:line="240" w:lineRule="auto"/>
    </w:pPr>
  </w:style>
  <w:style w:type="character" w:customStyle="1" w:styleId="CommentTextChar">
    <w:name w:val="Comment Text Char"/>
    <w:basedOn w:val="DefaultParagraphFont"/>
    <w:link w:val="CommentText"/>
    <w:uiPriority w:val="99"/>
    <w:rPr>
      <w:rFonts w:ascii="Arial" w:hAnsi="Arial" w:cs="Arial"/>
      <w:lang w:val="en-US" w:eastAsia="en-US"/>
    </w:rPr>
  </w:style>
  <w:style w:type="character" w:styleId="CommentReference">
    <w:name w:val="annotation reference"/>
    <w:basedOn w:val="DefaultParagraphFont"/>
    <w:uiPriority w:val="99"/>
    <w:semiHidden/>
    <w:rPr>
      <w:sz w:val="16"/>
      <w:szCs w:val="16"/>
    </w:rPr>
  </w:style>
  <w:style w:type="paragraph" w:customStyle="1" w:styleId="Instructions">
    <w:name w:val="Instructions"/>
    <w:basedOn w:val="Normal"/>
    <w:link w:val="InstructionsChar"/>
    <w:rsid w:val="00981568"/>
    <w:rPr>
      <w:rFonts w:ascii="Arial" w:hAnsi="Arial"/>
      <w:sz w:val="20"/>
    </w:rPr>
  </w:style>
  <w:style w:type="character" w:customStyle="1" w:styleId="InstructionsChar">
    <w:name w:val="Instructions Char"/>
    <w:basedOn w:val="DefaultParagraphFont"/>
    <w:link w:val="Instructions"/>
    <w:rsid w:val="00981568"/>
    <w:rPr>
      <w:rFonts w:ascii="Arial" w:hAnsi="Arial"/>
      <w:lang w:val="en-US" w:eastAsia="en-US"/>
    </w:rPr>
  </w:style>
  <w:style w:type="paragraph" w:styleId="Header">
    <w:name w:val="header"/>
    <w:basedOn w:val="Normal"/>
    <w:link w:val="HeaderChar"/>
    <w:uiPriority w:val="99"/>
    <w:unhideWhenUsed/>
    <w:rsid w:val="005A058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A0582"/>
    <w:rPr>
      <w:rFonts w:ascii="Times New Roman" w:hAnsi="Times New Roman"/>
      <w:sz w:val="24"/>
      <w:lang w:val="en-US" w:eastAsia="en-US"/>
    </w:rPr>
  </w:style>
  <w:style w:type="character" w:styleId="Hyperlink">
    <w:name w:val="Hyperlink"/>
    <w:basedOn w:val="DefaultParagraphFont"/>
    <w:uiPriority w:val="99"/>
    <w:rsid w:val="00F16F98"/>
    <w:rPr>
      <w:color w:val="0000FF" w:themeColor="hyperlink"/>
      <w:u w:val="single"/>
    </w:rPr>
  </w:style>
  <w:style w:type="character" w:customStyle="1" w:styleId="UnresolvedMention2">
    <w:name w:val="Unresolved Mention2"/>
    <w:basedOn w:val="DefaultParagraphFont"/>
    <w:uiPriority w:val="99"/>
    <w:semiHidden/>
    <w:unhideWhenUsed/>
    <w:rsid w:val="00F16F98"/>
    <w:rPr>
      <w:color w:val="605E5C"/>
      <w:shd w:val="clear" w:color="auto" w:fill="E1DFDD"/>
    </w:rPr>
  </w:style>
  <w:style w:type="paragraph" w:customStyle="1" w:styleId="Table">
    <w:name w:val="Table"/>
    <w:basedOn w:val="ParagraphText"/>
    <w:link w:val="TableChar"/>
    <w:qFormat/>
    <w:rsid w:val="006431F0"/>
    <w:pPr>
      <w:ind w:firstLine="0"/>
    </w:pPr>
  </w:style>
  <w:style w:type="character" w:customStyle="1" w:styleId="ParagraphTextChar">
    <w:name w:val="Paragraph Text Char"/>
    <w:basedOn w:val="DefaultParagraphFont"/>
    <w:link w:val="ParagraphText"/>
    <w:rsid w:val="00981568"/>
    <w:rPr>
      <w:rFonts w:ascii="Times New Roman" w:hAnsi="Times New Roman"/>
      <w:sz w:val="24"/>
      <w:lang w:val="en-US" w:eastAsia="en-US"/>
    </w:rPr>
  </w:style>
  <w:style w:type="character" w:customStyle="1" w:styleId="TableChar">
    <w:name w:val="Table Char"/>
    <w:basedOn w:val="ParagraphTextChar"/>
    <w:link w:val="Table"/>
    <w:rsid w:val="006431F0"/>
    <w:rPr>
      <w:rFonts w:ascii="Times New Roman" w:hAnsi="Times New Roman"/>
      <w:sz w:val="24"/>
      <w:lang w:val="en-US" w:eastAsia="en-US"/>
    </w:rPr>
  </w:style>
  <w:style w:type="paragraph" w:styleId="ListParagraph">
    <w:name w:val="List Paragraph"/>
    <w:basedOn w:val="Normal"/>
    <w:uiPriority w:val="34"/>
    <w:qFormat/>
    <w:rsid w:val="00513A2E"/>
    <w:pPr>
      <w:snapToGrid/>
      <w:spacing w:before="0" w:after="0" w:line="240" w:lineRule="auto"/>
      <w:ind w:left="720" w:firstLine="0"/>
      <w:contextualSpacing/>
    </w:pPr>
    <w:rPr>
      <w:rFonts w:asciiTheme="minorHAnsi" w:eastAsiaTheme="minorEastAsia" w:hAnsiTheme="minorHAnsi" w:cstheme="minorBidi"/>
      <w:szCs w:val="24"/>
    </w:rPr>
  </w:style>
  <w:style w:type="character" w:styleId="FollowedHyperlink">
    <w:name w:val="FollowedHyperlink"/>
    <w:basedOn w:val="DefaultParagraphFont"/>
    <w:uiPriority w:val="99"/>
    <w:semiHidden/>
    <w:rsid w:val="00736BB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935C6"/>
    <w:rPr>
      <w:b/>
      <w:bCs/>
      <w:sz w:val="20"/>
    </w:rPr>
  </w:style>
  <w:style w:type="character" w:customStyle="1" w:styleId="CommentSubjectChar">
    <w:name w:val="Comment Subject Char"/>
    <w:basedOn w:val="CommentTextChar"/>
    <w:link w:val="CommentSubject"/>
    <w:uiPriority w:val="99"/>
    <w:semiHidden/>
    <w:rsid w:val="001935C6"/>
    <w:rPr>
      <w:rFonts w:ascii="Times New Roman" w:hAnsi="Times New Roman" w:cs="Arial"/>
      <w:b/>
      <w:bCs/>
      <w:lang w:val="en-US" w:eastAsia="en-US"/>
    </w:rPr>
  </w:style>
  <w:style w:type="character" w:customStyle="1" w:styleId="UnresolvedMention3">
    <w:name w:val="Unresolved Mention3"/>
    <w:basedOn w:val="DefaultParagraphFont"/>
    <w:uiPriority w:val="99"/>
    <w:semiHidden/>
    <w:unhideWhenUsed/>
    <w:rsid w:val="002312FA"/>
    <w:rPr>
      <w:color w:val="605E5C"/>
      <w:shd w:val="clear" w:color="auto" w:fill="E1DFDD"/>
    </w:rPr>
  </w:style>
  <w:style w:type="table" w:customStyle="1" w:styleId="TableGrid2">
    <w:name w:val="Table Grid2"/>
    <w:basedOn w:val="TableNormal"/>
    <w:next w:val="TableGrid"/>
    <w:uiPriority w:val="59"/>
    <w:rsid w:val="00007712"/>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C5625"/>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1468"/>
    <w:rPr>
      <w:color w:val="605E5C"/>
      <w:shd w:val="clear" w:color="auto" w:fill="E1DFDD"/>
    </w:rPr>
  </w:style>
  <w:style w:type="table" w:customStyle="1" w:styleId="TableGrid4">
    <w:name w:val="Table Grid4"/>
    <w:basedOn w:val="TableNormal"/>
    <w:next w:val="TableGrid"/>
    <w:uiPriority w:val="59"/>
    <w:rsid w:val="006926AA"/>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4983">
      <w:bodyDiv w:val="1"/>
      <w:marLeft w:val="0"/>
      <w:marRight w:val="0"/>
      <w:marTop w:val="0"/>
      <w:marBottom w:val="0"/>
      <w:divBdr>
        <w:top w:val="none" w:sz="0" w:space="0" w:color="auto"/>
        <w:left w:val="none" w:sz="0" w:space="0" w:color="auto"/>
        <w:bottom w:val="none" w:sz="0" w:space="0" w:color="auto"/>
        <w:right w:val="none" w:sz="0" w:space="0" w:color="auto"/>
      </w:divBdr>
    </w:div>
    <w:div w:id="306323085">
      <w:bodyDiv w:val="1"/>
      <w:marLeft w:val="0"/>
      <w:marRight w:val="0"/>
      <w:marTop w:val="0"/>
      <w:marBottom w:val="0"/>
      <w:divBdr>
        <w:top w:val="none" w:sz="0" w:space="0" w:color="auto"/>
        <w:left w:val="none" w:sz="0" w:space="0" w:color="auto"/>
        <w:bottom w:val="none" w:sz="0" w:space="0" w:color="auto"/>
        <w:right w:val="none" w:sz="0" w:space="0" w:color="auto"/>
      </w:divBdr>
    </w:div>
    <w:div w:id="314070777">
      <w:bodyDiv w:val="1"/>
      <w:marLeft w:val="0"/>
      <w:marRight w:val="0"/>
      <w:marTop w:val="0"/>
      <w:marBottom w:val="0"/>
      <w:divBdr>
        <w:top w:val="none" w:sz="0" w:space="0" w:color="auto"/>
        <w:left w:val="none" w:sz="0" w:space="0" w:color="auto"/>
        <w:bottom w:val="none" w:sz="0" w:space="0" w:color="auto"/>
        <w:right w:val="none" w:sz="0" w:space="0" w:color="auto"/>
      </w:divBdr>
    </w:div>
    <w:div w:id="366030224">
      <w:bodyDiv w:val="1"/>
      <w:marLeft w:val="0"/>
      <w:marRight w:val="0"/>
      <w:marTop w:val="0"/>
      <w:marBottom w:val="0"/>
      <w:divBdr>
        <w:top w:val="none" w:sz="0" w:space="0" w:color="auto"/>
        <w:left w:val="none" w:sz="0" w:space="0" w:color="auto"/>
        <w:bottom w:val="none" w:sz="0" w:space="0" w:color="auto"/>
        <w:right w:val="none" w:sz="0" w:space="0" w:color="auto"/>
      </w:divBdr>
    </w:div>
    <w:div w:id="401488898">
      <w:bodyDiv w:val="1"/>
      <w:marLeft w:val="0"/>
      <w:marRight w:val="0"/>
      <w:marTop w:val="0"/>
      <w:marBottom w:val="0"/>
      <w:divBdr>
        <w:top w:val="none" w:sz="0" w:space="0" w:color="auto"/>
        <w:left w:val="none" w:sz="0" w:space="0" w:color="auto"/>
        <w:bottom w:val="none" w:sz="0" w:space="0" w:color="auto"/>
        <w:right w:val="none" w:sz="0" w:space="0" w:color="auto"/>
      </w:divBdr>
    </w:div>
    <w:div w:id="595283258">
      <w:bodyDiv w:val="1"/>
      <w:marLeft w:val="0"/>
      <w:marRight w:val="0"/>
      <w:marTop w:val="0"/>
      <w:marBottom w:val="0"/>
      <w:divBdr>
        <w:top w:val="none" w:sz="0" w:space="0" w:color="auto"/>
        <w:left w:val="none" w:sz="0" w:space="0" w:color="auto"/>
        <w:bottom w:val="none" w:sz="0" w:space="0" w:color="auto"/>
        <w:right w:val="none" w:sz="0" w:space="0" w:color="auto"/>
      </w:divBdr>
    </w:div>
    <w:div w:id="718286526">
      <w:bodyDiv w:val="1"/>
      <w:marLeft w:val="0"/>
      <w:marRight w:val="0"/>
      <w:marTop w:val="0"/>
      <w:marBottom w:val="0"/>
      <w:divBdr>
        <w:top w:val="none" w:sz="0" w:space="0" w:color="auto"/>
        <w:left w:val="none" w:sz="0" w:space="0" w:color="auto"/>
        <w:bottom w:val="none" w:sz="0" w:space="0" w:color="auto"/>
        <w:right w:val="none" w:sz="0" w:space="0" w:color="auto"/>
      </w:divBdr>
    </w:div>
    <w:div w:id="738016692">
      <w:bodyDiv w:val="1"/>
      <w:marLeft w:val="0"/>
      <w:marRight w:val="0"/>
      <w:marTop w:val="0"/>
      <w:marBottom w:val="0"/>
      <w:divBdr>
        <w:top w:val="none" w:sz="0" w:space="0" w:color="auto"/>
        <w:left w:val="none" w:sz="0" w:space="0" w:color="auto"/>
        <w:bottom w:val="none" w:sz="0" w:space="0" w:color="auto"/>
        <w:right w:val="none" w:sz="0" w:space="0" w:color="auto"/>
      </w:divBdr>
    </w:div>
    <w:div w:id="971013946">
      <w:bodyDiv w:val="1"/>
      <w:marLeft w:val="0"/>
      <w:marRight w:val="0"/>
      <w:marTop w:val="0"/>
      <w:marBottom w:val="0"/>
      <w:divBdr>
        <w:top w:val="none" w:sz="0" w:space="0" w:color="auto"/>
        <w:left w:val="none" w:sz="0" w:space="0" w:color="auto"/>
        <w:bottom w:val="none" w:sz="0" w:space="0" w:color="auto"/>
        <w:right w:val="none" w:sz="0" w:space="0" w:color="auto"/>
      </w:divBdr>
    </w:div>
    <w:div w:id="1035039465">
      <w:bodyDiv w:val="1"/>
      <w:marLeft w:val="0"/>
      <w:marRight w:val="0"/>
      <w:marTop w:val="0"/>
      <w:marBottom w:val="0"/>
      <w:divBdr>
        <w:top w:val="none" w:sz="0" w:space="0" w:color="auto"/>
        <w:left w:val="none" w:sz="0" w:space="0" w:color="auto"/>
        <w:bottom w:val="none" w:sz="0" w:space="0" w:color="auto"/>
        <w:right w:val="none" w:sz="0" w:space="0" w:color="auto"/>
      </w:divBdr>
    </w:div>
    <w:div w:id="1545560945">
      <w:bodyDiv w:val="1"/>
      <w:marLeft w:val="0"/>
      <w:marRight w:val="0"/>
      <w:marTop w:val="0"/>
      <w:marBottom w:val="0"/>
      <w:divBdr>
        <w:top w:val="none" w:sz="0" w:space="0" w:color="auto"/>
        <w:left w:val="none" w:sz="0" w:space="0" w:color="auto"/>
        <w:bottom w:val="none" w:sz="0" w:space="0" w:color="auto"/>
        <w:right w:val="none" w:sz="0" w:space="0" w:color="auto"/>
      </w:divBdr>
    </w:div>
    <w:div w:id="1620181488">
      <w:bodyDiv w:val="1"/>
      <w:marLeft w:val="0"/>
      <w:marRight w:val="0"/>
      <w:marTop w:val="0"/>
      <w:marBottom w:val="0"/>
      <w:divBdr>
        <w:top w:val="none" w:sz="0" w:space="0" w:color="auto"/>
        <w:left w:val="none" w:sz="0" w:space="0" w:color="auto"/>
        <w:bottom w:val="none" w:sz="0" w:space="0" w:color="auto"/>
        <w:right w:val="none" w:sz="0" w:space="0" w:color="auto"/>
      </w:divBdr>
      <w:divsChild>
        <w:div w:id="103119722">
          <w:marLeft w:val="0"/>
          <w:marRight w:val="0"/>
          <w:marTop w:val="0"/>
          <w:marBottom w:val="0"/>
          <w:divBdr>
            <w:top w:val="none" w:sz="0" w:space="0" w:color="auto"/>
            <w:left w:val="none" w:sz="0" w:space="0" w:color="auto"/>
            <w:bottom w:val="none" w:sz="0" w:space="0" w:color="auto"/>
            <w:right w:val="none" w:sz="0" w:space="0" w:color="auto"/>
          </w:divBdr>
          <w:divsChild>
            <w:div w:id="415907010">
              <w:marLeft w:val="0"/>
              <w:marRight w:val="0"/>
              <w:marTop w:val="0"/>
              <w:marBottom w:val="0"/>
              <w:divBdr>
                <w:top w:val="none" w:sz="0" w:space="0" w:color="auto"/>
                <w:left w:val="none" w:sz="0" w:space="0" w:color="auto"/>
                <w:bottom w:val="none" w:sz="0" w:space="0" w:color="auto"/>
                <w:right w:val="none" w:sz="0" w:space="0" w:color="auto"/>
              </w:divBdr>
              <w:divsChild>
                <w:div w:id="100906640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40540938">
          <w:marLeft w:val="0"/>
          <w:marRight w:val="0"/>
          <w:marTop w:val="0"/>
          <w:marBottom w:val="0"/>
          <w:divBdr>
            <w:top w:val="none" w:sz="0" w:space="0" w:color="auto"/>
            <w:left w:val="none" w:sz="0" w:space="0" w:color="auto"/>
            <w:bottom w:val="none" w:sz="0" w:space="0" w:color="auto"/>
            <w:right w:val="none" w:sz="0" w:space="0" w:color="auto"/>
          </w:divBdr>
          <w:divsChild>
            <w:div w:id="1130899812">
              <w:marLeft w:val="0"/>
              <w:marRight w:val="0"/>
              <w:marTop w:val="0"/>
              <w:marBottom w:val="0"/>
              <w:divBdr>
                <w:top w:val="none" w:sz="0" w:space="0" w:color="auto"/>
                <w:left w:val="none" w:sz="0" w:space="0" w:color="auto"/>
                <w:bottom w:val="none" w:sz="0" w:space="0" w:color="auto"/>
                <w:right w:val="none" w:sz="0" w:space="0" w:color="auto"/>
              </w:divBdr>
              <w:divsChild>
                <w:div w:id="108340715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07577514">
          <w:marLeft w:val="0"/>
          <w:marRight w:val="0"/>
          <w:marTop w:val="0"/>
          <w:marBottom w:val="0"/>
          <w:divBdr>
            <w:top w:val="none" w:sz="0" w:space="0" w:color="auto"/>
            <w:left w:val="none" w:sz="0" w:space="0" w:color="auto"/>
            <w:bottom w:val="none" w:sz="0" w:space="0" w:color="auto"/>
            <w:right w:val="none" w:sz="0" w:space="0" w:color="auto"/>
          </w:divBdr>
          <w:divsChild>
            <w:div w:id="153255808">
              <w:marLeft w:val="0"/>
              <w:marRight w:val="0"/>
              <w:marTop w:val="0"/>
              <w:marBottom w:val="0"/>
              <w:divBdr>
                <w:top w:val="none" w:sz="0" w:space="0" w:color="auto"/>
                <w:left w:val="none" w:sz="0" w:space="0" w:color="auto"/>
                <w:bottom w:val="none" w:sz="0" w:space="0" w:color="auto"/>
                <w:right w:val="none" w:sz="0" w:space="0" w:color="auto"/>
              </w:divBdr>
              <w:divsChild>
                <w:div w:id="5450701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99724586">
          <w:marLeft w:val="0"/>
          <w:marRight w:val="0"/>
          <w:marTop w:val="0"/>
          <w:marBottom w:val="0"/>
          <w:divBdr>
            <w:top w:val="none" w:sz="0" w:space="0" w:color="auto"/>
            <w:left w:val="none" w:sz="0" w:space="0" w:color="auto"/>
            <w:bottom w:val="none" w:sz="0" w:space="0" w:color="auto"/>
            <w:right w:val="none" w:sz="0" w:space="0" w:color="auto"/>
          </w:divBdr>
          <w:divsChild>
            <w:div w:id="10239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86432">
      <w:bodyDiv w:val="1"/>
      <w:marLeft w:val="0"/>
      <w:marRight w:val="0"/>
      <w:marTop w:val="0"/>
      <w:marBottom w:val="0"/>
      <w:divBdr>
        <w:top w:val="none" w:sz="0" w:space="0" w:color="auto"/>
        <w:left w:val="none" w:sz="0" w:space="0" w:color="auto"/>
        <w:bottom w:val="none" w:sz="0" w:space="0" w:color="auto"/>
        <w:right w:val="none" w:sz="0" w:space="0" w:color="auto"/>
      </w:divBdr>
    </w:div>
    <w:div w:id="19402177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29/2020GL090353" TargetMode="External"/><Relationship Id="rId21" Type="http://schemas.openxmlformats.org/officeDocument/2006/relationships/hyperlink" Target="https://doi.org/10.1175/JCLI-D-15-0755.1" TargetMode="External"/><Relationship Id="rId34" Type="http://schemas.openxmlformats.org/officeDocument/2006/relationships/hyperlink" Target="https://doi.org/10.1175/1520-0493(1988)116%3c2081:NSOAED%3e2.0.CO;2" TargetMode="External"/><Relationship Id="rId42" Type="http://schemas.openxmlformats.org/officeDocument/2006/relationships/hyperlink" Target="https://doi.org/10.1175/2007JCLI1810.1" TargetMode="External"/><Relationship Id="rId47" Type="http://schemas.openxmlformats.org/officeDocument/2006/relationships/hyperlink" Target="https://doi.org/10.1175/2007MWR2132.1" TargetMode="External"/><Relationship Id="rId50" Type="http://schemas.openxmlformats.org/officeDocument/2006/relationships/hyperlink" Target="https://doi.org/10.1175/1520-0434(1987)002%3c0289:TIOJSC%3e2.0.CO;2" TargetMode="External"/><Relationship Id="rId55" Type="http://schemas.openxmlformats.org/officeDocument/2006/relationships/hyperlink" Target="https://doi.org/10.1175/JCLI-D-23-0445.1" TargetMode="External"/><Relationship Id="rId63" Type="http://schemas.openxmlformats.org/officeDocument/2006/relationships/footer" Target="footer1.xm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3390/ijgi1010032" TargetMode="External"/><Relationship Id="rId29" Type="http://schemas.openxmlformats.org/officeDocument/2006/relationships/hyperlink" Target="https://doi.org/10.1175/BAMS-D-12-00014.1" TargetMode="External"/><Relationship Id="rId11" Type="http://schemas.openxmlformats.org/officeDocument/2006/relationships/hyperlink" Target="https://doi.org/10.1016/j.polar.2016.02.002" TargetMode="External"/><Relationship Id="rId24" Type="http://schemas.openxmlformats.org/officeDocument/2006/relationships/hyperlink" Target="https://doi.org/10.1002/qj.828" TargetMode="External"/><Relationship Id="rId32" Type="http://schemas.openxmlformats.org/officeDocument/2006/relationships/hyperlink" Target="https://doi.org/10.24381/cds.bd0915c6" TargetMode="External"/><Relationship Id="rId37" Type="http://schemas.openxmlformats.org/officeDocument/2006/relationships/hyperlink" Target="https://doi.org/10.1029/2023JD038638" TargetMode="External"/><Relationship Id="rId40" Type="http://schemas.openxmlformats.org/officeDocument/2006/relationships/hyperlink" Target="https://doi.org/10.1175/1520-0493(2000)128%3c2920:ESOECA%3e2.0.CO;2" TargetMode="External"/><Relationship Id="rId45" Type="http://schemas.openxmlformats.org/officeDocument/2006/relationships/hyperlink" Target="https://doi.org/10.1002/2017GL074778" TargetMode="External"/><Relationship Id="rId53" Type="http://schemas.openxmlformats.org/officeDocument/2006/relationships/hyperlink" Target="https://doi.org/10.1016/j.polar.2018.01.002" TargetMode="External"/><Relationship Id="rId58" Type="http://schemas.openxmlformats.org/officeDocument/2006/relationships/hyperlink" Target="https://doi.org/10.1002/grl.50190" TargetMode="External"/><Relationship Id="rId66" Type="http://schemas.openxmlformats.org/officeDocument/2006/relationships/footer" Target="footer3.xml"/><Relationship Id="rId5" Type="http://schemas.openxmlformats.org/officeDocument/2006/relationships/webSettings" Target="webSettings.xml"/><Relationship Id="rId61" Type="http://schemas.openxmlformats.org/officeDocument/2006/relationships/hyperlink" Target="https://doi.org/10.1175/JAS3688.1" TargetMode="External"/><Relationship Id="rId19" Type="http://schemas.openxmlformats.org/officeDocument/2006/relationships/hyperlink" Target="https://doi.org/10.1175/MWR-D-11-00304.1" TargetMode="External"/><Relationship Id="rId14" Type="http://schemas.openxmlformats.org/officeDocument/2006/relationships/hyperlink" Target="https://doi.org/10.1175/MWR-D-22-0318.1" TargetMode="External"/><Relationship Id="rId22" Type="http://schemas.openxmlformats.org/officeDocument/2006/relationships/hyperlink" Target="https://doi.org/10.1175/MWR-D-20-0417.1" TargetMode="External"/><Relationship Id="rId27" Type="http://schemas.openxmlformats.org/officeDocument/2006/relationships/hyperlink" Target="https://doi.org/10.5194/wcd-2-1303-2021" TargetMode="External"/><Relationship Id="rId30" Type="http://schemas.openxmlformats.org/officeDocument/2006/relationships/hyperlink" Target="https://doi.org/10.1002/qj.3803" TargetMode="External"/><Relationship Id="rId35" Type="http://schemas.openxmlformats.org/officeDocument/2006/relationships/hyperlink" Target="https://doi.org/10.1175/WAF-D-16-0026.1" TargetMode="External"/><Relationship Id="rId43" Type="http://schemas.openxmlformats.org/officeDocument/2006/relationships/hyperlink" Target="https://doi.org/10.1029/2012GL054259" TargetMode="External"/><Relationship Id="rId48" Type="http://schemas.openxmlformats.org/officeDocument/2006/relationships/hyperlink" Target="https://doi.org/10.1175/MWR-D-14-00006.1" TargetMode="External"/><Relationship Id="rId56" Type="http://schemas.openxmlformats.org/officeDocument/2006/relationships/hyperlink" Target="https://doi.org/10.1175/1520-0469(2003)060%3c1173:EOMCOM%3e2.0.CO;2" TargetMode="External"/><Relationship Id="rId64" Type="http://schemas.openxmlformats.org/officeDocument/2006/relationships/footer" Target="footer2.xml"/><Relationship Id="rId8" Type="http://schemas.openxmlformats.org/officeDocument/2006/relationships/hyperlink" Target="https://doi.org/10.24381/cds.adbb2d47" TargetMode="External"/><Relationship Id="rId51" Type="http://schemas.openxmlformats.org/officeDocument/2006/relationships/hyperlink" Target="https://doi.org/10.5194/wcd-3-1097-2022" TargetMode="External"/><Relationship Id="rId3" Type="http://schemas.openxmlformats.org/officeDocument/2006/relationships/styles" Target="styles.xml"/><Relationship Id="rId12" Type="http://schemas.openxmlformats.org/officeDocument/2006/relationships/hyperlink" Target="https://doi.org/10.1007/s00703-013-0272-6" TargetMode="External"/><Relationship Id="rId17" Type="http://schemas.openxmlformats.org/officeDocument/2006/relationships/hyperlink" Target="https://doi.org/10.1175/MWR-D-20-0350.1" TargetMode="External"/><Relationship Id="rId25" Type="http://schemas.openxmlformats.org/officeDocument/2006/relationships/hyperlink" Target="https://doi.org/10.1038/srep30682" TargetMode="External"/><Relationship Id="rId33" Type="http://schemas.openxmlformats.org/officeDocument/2006/relationships/hyperlink" Target="https://doi.org/10.1175/MWR-D-20-0285.1" TargetMode="External"/><Relationship Id="rId38" Type="http://schemas.openxmlformats.org/officeDocument/2006/relationships/hyperlink" Target="https://doi.org/10.1175/1520-0493(1986)114%3c2207:ECOTWC%3e2.0.CO;2" TargetMode="External"/><Relationship Id="rId46" Type="http://schemas.openxmlformats.org/officeDocument/2006/relationships/hyperlink" Target="https://doi.org/10.1002/2014GL059983" TargetMode="External"/><Relationship Id="rId59" Type="http://schemas.openxmlformats.org/officeDocument/2006/relationships/hyperlink" Target="https://doi.org/10.1175/1520-0442(2004)017%3c2300:CAIVOA%3e2.0.CO;2" TargetMode="External"/><Relationship Id="rId67" Type="http://schemas.openxmlformats.org/officeDocument/2006/relationships/fontTable" Target="fontTable.xml"/><Relationship Id="rId20" Type="http://schemas.openxmlformats.org/officeDocument/2006/relationships/hyperlink" Target="https://doi.org/10.1175/JCLI-D-21-0093.1" TargetMode="External"/><Relationship Id="rId41" Type="http://schemas.openxmlformats.org/officeDocument/2006/relationships/hyperlink" Target="https://doi.org/10.1080/07055900.1995.9649522" TargetMode="External"/><Relationship Id="rId54" Type="http://schemas.openxmlformats.org/officeDocument/2006/relationships/hyperlink" Target="https://doi.org/10.1002/2014JD022925" TargetMode="External"/><Relationship Id="rId62"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75/2010BAMS2853.1" TargetMode="External"/><Relationship Id="rId23" Type="http://schemas.openxmlformats.org/officeDocument/2006/relationships/hyperlink" Target="https://doi.org/10.1029/2023GL105993" TargetMode="External"/><Relationship Id="rId28" Type="http://schemas.openxmlformats.org/officeDocument/2006/relationships/hyperlink" Target="https://doi.org/10.1080/15022250.2010.521686" TargetMode="External"/><Relationship Id="rId36" Type="http://schemas.openxmlformats.org/officeDocument/2006/relationships/hyperlink" Target="https://doi.org/10.1175/1520-0493(2002)130%3c0957:ICSAEG%3e2.0.CO;2" TargetMode="External"/><Relationship Id="rId49" Type="http://schemas.openxmlformats.org/officeDocument/2006/relationships/hyperlink" Target="https://doi.org/10.1175/MWR-D-15-0085.1" TargetMode="External"/><Relationship Id="rId57" Type="http://schemas.openxmlformats.org/officeDocument/2006/relationships/hyperlink" Target="https://doi.org/10.1175/JAS4028.1" TargetMode="External"/><Relationship Id="rId10" Type="http://schemas.openxmlformats.org/officeDocument/2006/relationships/hyperlink" Target="https://apps.ecmwf.int/datasets/data/tigge" TargetMode="External"/><Relationship Id="rId31" Type="http://schemas.openxmlformats.org/officeDocument/2006/relationships/hyperlink" Target="https://doi.org/10.24381/cds.adbb2d47" TargetMode="External"/><Relationship Id="rId44" Type="http://schemas.openxmlformats.org/officeDocument/2006/relationships/hyperlink" Target="https://doi.org/10.1002/qj.3055" TargetMode="External"/><Relationship Id="rId52" Type="http://schemas.openxmlformats.org/officeDocument/2006/relationships/hyperlink" Target="https://doi.org/10.1002/asl.757" TargetMode="External"/><Relationship Id="rId60" Type="http://schemas.openxmlformats.org/officeDocument/2006/relationships/hyperlink" Target="https://doi.org/10.1175/WAF-D-12-00132.1" TargetMode="External"/><Relationship Id="rId65"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doi.org/10.24381/cds.bd0915c6" TargetMode="External"/><Relationship Id="rId13" Type="http://schemas.openxmlformats.org/officeDocument/2006/relationships/hyperlink" Target="https://doi.org/10.1002/qj.4569" TargetMode="External"/><Relationship Id="rId18" Type="http://schemas.openxmlformats.org/officeDocument/2006/relationships/hyperlink" Target="https://doi.org/10.1175/2010MWR3371.1" TargetMode="External"/><Relationship Id="rId39" Type="http://schemas.openxmlformats.org/officeDocument/2006/relationships/hyperlink" Target="https://doi.org/10.1175/1520-0434(1992)007%3c0003:SOODMI%3e2.0.CO;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24B34-CCDE-AF46-81E3-1F1F264FA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27</Pages>
  <Words>9683</Words>
  <Characters>55198</Characters>
  <Application>Microsoft Office Word</Application>
  <DocSecurity>0</DocSecurity>
  <Lines>459</Lines>
  <Paragraphs>129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64752</CharactersWithSpaces>
  <SharedDoc>false</SharedDoc>
  <HLinks>
    <vt:vector size="90" baseType="variant">
      <vt:variant>
        <vt:i4>3080253</vt:i4>
      </vt:variant>
      <vt:variant>
        <vt:i4>48</vt:i4>
      </vt:variant>
      <vt:variant>
        <vt:i4>0</vt:i4>
      </vt:variant>
      <vt:variant>
        <vt:i4>5</vt:i4>
      </vt:variant>
      <vt:variant>
        <vt:lpwstr>https://doi.org/10.1007/s00382-019-04835-9</vt:lpwstr>
      </vt:variant>
      <vt:variant>
        <vt:lpwstr/>
      </vt:variant>
      <vt:variant>
        <vt:i4>8126517</vt:i4>
      </vt:variant>
      <vt:variant>
        <vt:i4>45</vt:i4>
      </vt:variant>
      <vt:variant>
        <vt:i4>0</vt:i4>
      </vt:variant>
      <vt:variant>
        <vt:i4>5</vt:i4>
      </vt:variant>
      <vt:variant>
        <vt:lpwstr>https://doi.org/10.1002/qj.3263</vt:lpwstr>
      </vt:variant>
      <vt:variant>
        <vt:lpwstr/>
      </vt:variant>
      <vt:variant>
        <vt:i4>655384</vt:i4>
      </vt:variant>
      <vt:variant>
        <vt:i4>42</vt:i4>
      </vt:variant>
      <vt:variant>
        <vt:i4>0</vt:i4>
      </vt:variant>
      <vt:variant>
        <vt:i4>5</vt:i4>
      </vt:variant>
      <vt:variant>
        <vt:lpwstr>https://doi.org/10.1007/s00382-010-0956-2</vt:lpwstr>
      </vt:variant>
      <vt:variant>
        <vt:lpwstr/>
      </vt:variant>
      <vt:variant>
        <vt:i4>3342463</vt:i4>
      </vt:variant>
      <vt:variant>
        <vt:i4>39</vt:i4>
      </vt:variant>
      <vt:variant>
        <vt:i4>0</vt:i4>
      </vt:variant>
      <vt:variant>
        <vt:i4>5</vt:i4>
      </vt:variant>
      <vt:variant>
        <vt:lpwstr>https://doi.org/10.1175/1520-0477(1997)078%3C2771:TDOENO%3E2.0.CO;2</vt:lpwstr>
      </vt:variant>
      <vt:variant>
        <vt:lpwstr/>
      </vt:variant>
      <vt:variant>
        <vt:i4>3735658</vt:i4>
      </vt:variant>
      <vt:variant>
        <vt:i4>36</vt:i4>
      </vt:variant>
      <vt:variant>
        <vt:i4>0</vt:i4>
      </vt:variant>
      <vt:variant>
        <vt:i4>5</vt:i4>
      </vt:variant>
      <vt:variant>
        <vt:lpwstr>https://doi.org/10.1175/1520-0493(1987)115%3C1606:GARSPP%3E2.0.CO;2</vt:lpwstr>
      </vt:variant>
      <vt:variant>
        <vt:lpwstr/>
      </vt:variant>
      <vt:variant>
        <vt:i4>2621546</vt:i4>
      </vt:variant>
      <vt:variant>
        <vt:i4>33</vt:i4>
      </vt:variant>
      <vt:variant>
        <vt:i4>0</vt:i4>
      </vt:variant>
      <vt:variant>
        <vt:i4>5</vt:i4>
      </vt:variant>
      <vt:variant>
        <vt:lpwstr>https://doi.org/10.1175/1520-0442(2000)013%3C3915:EARATT%3E2.0.CO;2</vt:lpwstr>
      </vt:variant>
      <vt:variant>
        <vt:lpwstr/>
      </vt:variant>
      <vt:variant>
        <vt:i4>2621561</vt:i4>
      </vt:variant>
      <vt:variant>
        <vt:i4>30</vt:i4>
      </vt:variant>
      <vt:variant>
        <vt:i4>0</vt:i4>
      </vt:variant>
      <vt:variant>
        <vt:i4>5</vt:i4>
      </vt:variant>
      <vt:variant>
        <vt:lpwstr>https://doi.org/10.1175/1520-0493(1989)117%3C0572:SSACCI%3E2.0.CO;2</vt:lpwstr>
      </vt:variant>
      <vt:variant>
        <vt:lpwstr/>
      </vt:variant>
      <vt:variant>
        <vt:i4>4784216</vt:i4>
      </vt:variant>
      <vt:variant>
        <vt:i4>27</vt:i4>
      </vt:variant>
      <vt:variant>
        <vt:i4>0</vt:i4>
      </vt:variant>
      <vt:variant>
        <vt:i4>5</vt:i4>
      </vt:variant>
      <vt:variant>
        <vt:lpwstr>https://doi.org/10.1175/JCLI-D-13-00714.1</vt:lpwstr>
      </vt:variant>
      <vt:variant>
        <vt:lpwstr/>
      </vt:variant>
      <vt:variant>
        <vt:i4>3080251</vt:i4>
      </vt:variant>
      <vt:variant>
        <vt:i4>24</vt:i4>
      </vt:variant>
      <vt:variant>
        <vt:i4>0</vt:i4>
      </vt:variant>
      <vt:variant>
        <vt:i4>5</vt:i4>
      </vt:variant>
      <vt:variant>
        <vt:lpwstr>https://doi.org/10.1023/A:1020785826029</vt:lpwstr>
      </vt:variant>
      <vt:variant>
        <vt:lpwstr/>
      </vt:variant>
      <vt:variant>
        <vt:i4>5832775</vt:i4>
      </vt:variant>
      <vt:variant>
        <vt:i4>21</vt:i4>
      </vt:variant>
      <vt:variant>
        <vt:i4>0</vt:i4>
      </vt:variant>
      <vt:variant>
        <vt:i4>5</vt:i4>
      </vt:variant>
      <vt:variant>
        <vt:lpwstr>https://doi.org/10.1175/JAMC-D-16-0365.1</vt:lpwstr>
      </vt:variant>
      <vt:variant>
        <vt:lpwstr/>
      </vt:variant>
      <vt:variant>
        <vt:i4>1245212</vt:i4>
      </vt:variant>
      <vt:variant>
        <vt:i4>18</vt:i4>
      </vt:variant>
      <vt:variant>
        <vt:i4>0</vt:i4>
      </vt:variant>
      <vt:variant>
        <vt:i4>5</vt:i4>
      </vt:variant>
      <vt:variant>
        <vt:lpwstr>https://cgspace.cgiar.org/bitstream/handle/10568/3840/climateVariability.pdf</vt:lpwstr>
      </vt:variant>
      <vt:variant>
        <vt:lpwstr/>
      </vt:variant>
      <vt:variant>
        <vt:i4>2490468</vt:i4>
      </vt:variant>
      <vt:variant>
        <vt:i4>15</vt:i4>
      </vt:variant>
      <vt:variant>
        <vt:i4>0</vt:i4>
      </vt:variant>
      <vt:variant>
        <vt:i4>5</vt:i4>
      </vt:variant>
      <vt:variant>
        <vt:lpwstr>https://doi.org/10.1175/1520-0493(2003)131%3C0074:AOSOTR%3E2.0.CO;2</vt:lpwstr>
      </vt:variant>
      <vt:variant>
        <vt:lpwstr/>
      </vt:variant>
      <vt:variant>
        <vt:i4>2818160</vt:i4>
      </vt:variant>
      <vt:variant>
        <vt:i4>12</vt:i4>
      </vt:variant>
      <vt:variant>
        <vt:i4>0</vt:i4>
      </vt:variant>
      <vt:variant>
        <vt:i4>5</vt:i4>
      </vt:variant>
      <vt:variant>
        <vt:lpwstr>https://doi.org/10.1175/1525-7541(2003)004%3C1147:TVGPCP%3E2.0.CO;2</vt:lpwstr>
      </vt:variant>
      <vt:variant>
        <vt:lpwstr/>
      </vt:variant>
      <vt:variant>
        <vt:i4>917512</vt:i4>
      </vt:variant>
      <vt:variant>
        <vt:i4>9</vt:i4>
      </vt:variant>
      <vt:variant>
        <vt:i4>0</vt:i4>
      </vt:variant>
      <vt:variant>
        <vt:i4>5</vt:i4>
      </vt:variant>
      <vt:variant>
        <vt:lpwstr>https://www.jasmin.ac.uk/</vt:lpwstr>
      </vt:variant>
      <vt:variant>
        <vt:lpwstr/>
      </vt:variant>
      <vt:variant>
        <vt:i4>3997716</vt:i4>
      </vt:variant>
      <vt:variant>
        <vt:i4>0</vt:i4>
      </vt:variant>
      <vt:variant>
        <vt:i4>0</vt:i4>
      </vt:variant>
      <vt:variant>
        <vt:i4>5</vt:i4>
      </vt:variant>
      <vt:variant>
        <vt:lpwstr>mailto:hannah.young@reading.ac.uk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docx2doc</dc:creator>
  <cp:keywords/>
  <dc:description/>
  <cp:lastModifiedBy>Kevin Biernat</cp:lastModifiedBy>
  <cp:revision>4</cp:revision>
  <dcterms:created xsi:type="dcterms:W3CDTF">2024-03-17T21:07:00Z</dcterms:created>
  <dcterms:modified xsi:type="dcterms:W3CDTF">2024-03-17T21:15:00Z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x_a">
    <vt:bool>false</vt:bool>
  </property>
  <property fmtid="{D5CDD505-2E9C-101B-9397-08002B2CF9AE}" pid="4" name="x_p">
    <vt:bool>false</vt:bool>
  </property>
  <property fmtid="{D5CDD505-2E9C-101B-9397-08002B2CF9AE}" pid="5" name="x_t">
    <vt:bool>true</vt:bool>
  </property>
</Properties>
</file>