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Kevin A. Biernat</w:t>
      </w:r>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512D75F3"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7C1168">
        <w:t xml:space="preserve">and </w:t>
      </w:r>
      <w:r w:rsidR="00AF3F5B">
        <w:t>the amplitude of an upper-tropospheric ridge downstream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Biernat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Vessey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Ban et al. 2023; Croad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Tao et al. 2017b; Yamagami et al. 2018; Capute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r w:rsidRPr="00F044DD">
        <w:t>Biernat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6A4DE031"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w:t>
      </w:r>
      <w:r w:rsidR="00923A1E">
        <w:rPr>
          <w:szCs w:val="24"/>
        </w:rPr>
        <w:t xml:space="preserve">in </w:t>
      </w:r>
      <w:r w:rsidRPr="00294105">
        <w:rPr>
          <w:szCs w:val="24"/>
        </w:rPr>
        <w:t xml:space="preserve">Biernat et al. (2023) based on the lowest sea level pressure (SLP) attained by these ACs when located within the Arctic (&gt; 70°N) during low-skill periods. The tracks of the strong low-skill ACs </w:t>
      </w:r>
      <w:r>
        <w:rPr>
          <w:szCs w:val="24"/>
        </w:rPr>
        <w:t xml:space="preserve">in Biernat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tracked </w:t>
      </w:r>
      <w:r w:rsidR="00FD0348">
        <w:rPr>
          <w:szCs w:val="24"/>
        </w:rPr>
        <w:t xml:space="preserve">in the present paper </w:t>
      </w:r>
      <w:r w:rsidRPr="00294105">
        <w:rPr>
          <w:szCs w:val="24"/>
        </w:rPr>
        <w:t xml:space="preserve">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w:t>
      </w:r>
      <w:proofErr w:type="gramStart"/>
      <w:r w:rsidR="00DD234E">
        <w:rPr>
          <w:szCs w:val="24"/>
        </w:rPr>
        <w:t>are</w:t>
      </w:r>
      <w:proofErr w:type="gramEnd"/>
      <w:r w:rsidR="00AB7C75">
        <w:rPr>
          <w:szCs w:val="24"/>
        </w:rPr>
        <w:t xml:space="preserve">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653A6F7C"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are shifted and rotated</w:t>
      </w:r>
      <w:r w:rsidR="00A1185F">
        <w:rPr>
          <w:szCs w:val="24"/>
        </w:rPr>
        <w:t xml:space="preserve"> about the North Pole</w:t>
      </w:r>
      <w:r w:rsidRPr="00294105">
        <w:rPr>
          <w:szCs w:val="24"/>
        </w:rPr>
        <w:t xml:space="preserve"> such that the center of each AC (i.e., location of minimum SLP) is positioned at the mean latitude and mean longitude of the ACs. </w:t>
      </w:r>
    </w:p>
    <w:p w14:paraId="2941A8DD" w14:textId="45555C6B" w:rsidR="00492F6D" w:rsidRPr="00691A1B" w:rsidRDefault="00294105" w:rsidP="00691A1B">
      <w:pPr>
        <w:rPr>
          <w:szCs w:val="24"/>
        </w:rPr>
      </w:pPr>
      <w:r w:rsidRPr="00294105">
        <w:rPr>
          <w:szCs w:val="24"/>
        </w:rPr>
        <w:t xml:space="preserve">Since ERA5 data are </w:t>
      </w:r>
      <w:r w:rsidR="002F7DB1">
        <w:rPr>
          <w:szCs w:val="24"/>
        </w:rPr>
        <w:t>on</w:t>
      </w:r>
      <w:r w:rsidRPr="00294105">
        <w:rPr>
          <w:szCs w:val="24"/>
        </w:rPr>
        <w:t xml:space="preserve"> latitude–longitude grids, the area of grid cells </w:t>
      </w:r>
      <w:r w:rsidR="00964D01">
        <w:rPr>
          <w:szCs w:val="24"/>
        </w:rPr>
        <w:t>is a function of position on the grid</w:t>
      </w:r>
      <w:r w:rsidRPr="00294105">
        <w:rPr>
          <w:szCs w:val="24"/>
        </w:rPr>
        <w:t xml:space="preserve">. In order to shift ERA5 grids while preserving area, each ERA5 grid is </w:t>
      </w:r>
      <w:proofErr w:type="spellStart"/>
      <w:r w:rsidR="00A1185F">
        <w:rPr>
          <w:szCs w:val="24"/>
        </w:rPr>
        <w:t>regridded</w:t>
      </w:r>
      <w:proofErr w:type="spellEnd"/>
      <w:r w:rsidRPr="00294105">
        <w:rPr>
          <w:szCs w:val="24"/>
        </w:rPr>
        <w:t xml:space="preserve"> </w:t>
      </w:r>
      <w:r w:rsidR="002177B3">
        <w:rPr>
          <w:szCs w:val="24"/>
        </w:rPr>
        <w:t>to</w:t>
      </w:r>
      <w:r w:rsidRPr="00294105">
        <w:rPr>
          <w:szCs w:val="24"/>
        </w:rPr>
        <w:t xml:space="preserve"> a 25-km polar Equal-Area Scalable Earth 2.0 (EASE2) grid (Brodzik et al. 2012) by utilizing a portion of the cyclone tracking algorithm developed by Crawford et al. (2021) that </w:t>
      </w:r>
      <w:proofErr w:type="spellStart"/>
      <w:r w:rsidR="00A1185F">
        <w:rPr>
          <w:szCs w:val="24"/>
        </w:rPr>
        <w:t>regrids</w:t>
      </w:r>
      <w:proofErr w:type="spellEnd"/>
      <w:r w:rsidRPr="00294105">
        <w:rPr>
          <w:szCs w:val="24"/>
        </w:rPr>
        <w:t xml:space="preserve"> latitude–longitude grids </w:t>
      </w:r>
      <w:r w:rsidR="002177B3">
        <w:rPr>
          <w:szCs w:val="24"/>
        </w:rPr>
        <w:t>to</w:t>
      </w:r>
      <w:r w:rsidRPr="00294105">
        <w:rPr>
          <w:szCs w:val="24"/>
        </w:rPr>
        <w:t xml:space="preserve"> EASE2 grids. The EASE2 grid uses a polar Lambert azimuthal equal-area projection centered at 90°N, 0°E (Brodzik et al. 2012). Each ERA5 latitude–longitude grid is first rotated</w:t>
      </w:r>
      <w:r w:rsidR="00A1185F">
        <w:rPr>
          <w:szCs w:val="24"/>
        </w:rPr>
        <w:t xml:space="preserve"> about the North Pole</w:t>
      </w:r>
      <w:r w:rsidRPr="00294105">
        <w:rPr>
          <w:szCs w:val="24"/>
        </w:rPr>
        <w:t xml:space="preserve"> such that the AC center is located at 0°E, which lies along the y-axis of the EASE2 grid, before being </w:t>
      </w:r>
      <w:proofErr w:type="spellStart"/>
      <w:r w:rsidR="002177B3">
        <w:rPr>
          <w:szCs w:val="24"/>
        </w:rPr>
        <w:t>regridded</w:t>
      </w:r>
      <w:proofErr w:type="spellEnd"/>
      <w:r w:rsidRPr="00294105">
        <w:rPr>
          <w:szCs w:val="24"/>
        </w:rPr>
        <w:t xml:space="preserve"> </w:t>
      </w:r>
      <w:r w:rsidR="002177B3">
        <w:rPr>
          <w:szCs w:val="24"/>
        </w:rPr>
        <w:t>to</w:t>
      </w:r>
      <w:r w:rsidRPr="00294105">
        <w:rPr>
          <w:szCs w:val="24"/>
        </w:rPr>
        <w:t xml:space="preserve"> the EASE2 grid. </w:t>
      </w:r>
      <w:r w:rsidR="008D5382">
        <w:rPr>
          <w:szCs w:val="24"/>
        </w:rPr>
        <w:t>Performing</w:t>
      </w:r>
      <w:r w:rsidRPr="00294105">
        <w:rPr>
          <w:szCs w:val="24"/>
        </w:rPr>
        <w:t xml:space="preserve">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w:t>
      </w:r>
      <w:proofErr w:type="spellStart"/>
      <w:r w:rsidR="002177B3">
        <w:rPr>
          <w:szCs w:val="24"/>
        </w:rPr>
        <w:t>regridded</w:t>
      </w:r>
      <w:proofErr w:type="spellEnd"/>
      <w:r w:rsidRPr="00294105">
        <w:rPr>
          <w:szCs w:val="24"/>
        </w:rPr>
        <w:t xml:space="preserve"> back </w:t>
      </w:r>
      <w:r w:rsidR="002177B3">
        <w:rPr>
          <w:szCs w:val="24"/>
        </w:rPr>
        <w:t>to</w:t>
      </w:r>
      <w:r w:rsidRPr="00294105">
        <w:rPr>
          <w:szCs w:val="24"/>
        </w:rPr>
        <w:t xml:space="preserve"> a 0.25° latitude–longitude grid and lastly rotated</w:t>
      </w:r>
      <w:r w:rsidR="00A1185F">
        <w:rPr>
          <w:szCs w:val="24"/>
        </w:rPr>
        <w:t xml:space="preserve"> about the North Pole</w:t>
      </w:r>
      <w:r w:rsidRPr="00294105">
        <w:rPr>
          <w:szCs w:val="24"/>
        </w:rPr>
        <w:t xml:space="preserve"> such that the AC center is located at the mean longitude of the ACs. The resulting grids are then composited for each lag time. Throughout </w:t>
      </w:r>
      <w:r w:rsidR="00151DA3">
        <w:rPr>
          <w:szCs w:val="24"/>
        </w:rPr>
        <w:t>section 3a</w:t>
      </w:r>
      <w:r w:rsidRPr="00294105">
        <w:rPr>
          <w:szCs w:val="24"/>
        </w:rPr>
        <w:t xml:space="preserve">,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w:t>
      </w:r>
      <w:r w:rsidR="002F1F91">
        <w:rPr>
          <w:szCs w:val="24"/>
        </w:rPr>
        <w:t>physiographic</w:t>
      </w:r>
      <w:r w:rsidRPr="00294105">
        <w:rPr>
          <w:szCs w:val="24"/>
        </w:rPr>
        <w:t xml:space="preserve">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7B9857E7"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t>
      </w:r>
      <w:r w:rsidR="0066530B">
        <w:t xml:space="preserve">then </w:t>
      </w:r>
      <w:r w:rsidR="00BB5C61">
        <w:lastRenderedPageBreak/>
        <w:t xml:space="preserve">weakens until 1200 UTC 19 August and </w:t>
      </w:r>
      <w:r>
        <w:t xml:space="preserve">appears to </w:t>
      </w:r>
      <w:r w:rsidR="00BB5C61">
        <w:t>strengthen as it merges with another AC (not shown) during 1200 UTC–1800 UTC 19 August (Fig. 2b). AC16 weakens after 1800 UTC 19 August (Fig. 2b).</w:t>
      </w:r>
      <w:r w:rsidR="00492F6D">
        <w:t xml:space="preserve"> </w:t>
      </w:r>
    </w:p>
    <w:p w14:paraId="4ABF21DE" w14:textId="0962D74D" w:rsidR="0059673D" w:rsidRDefault="00C70851" w:rsidP="00DA4F3C">
      <w:pPr>
        <w:pStyle w:val="ParagraphText"/>
      </w:pPr>
      <w:r>
        <w:t xml:space="preserve">Ensemble forecasts from the </w:t>
      </w:r>
      <w:r w:rsidRPr="001E7E03">
        <w:t xml:space="preserve">51-member ECMWF </w:t>
      </w:r>
      <w:r>
        <w:t>ensemble prediction system (EPS)</w:t>
      </w:r>
      <w:r w:rsidRPr="001E7E03">
        <w:t xml:space="preserve"> </w:t>
      </w:r>
      <w:r w:rsidR="002F1F91">
        <w:t xml:space="preserve">initialized at 0000 UTC 10 August and verifying at 0000 UTC 15 August (120 h) </w:t>
      </w:r>
      <w:r>
        <w:t xml:space="preserve">are extracted </w:t>
      </w:r>
      <w:r w:rsidRPr="001E7E03">
        <w:t>from The Observing System</w:t>
      </w:r>
      <w:r>
        <w:t xml:space="preserve"> </w:t>
      </w:r>
      <w:r w:rsidRPr="001E7E03">
        <w:t>Research and Predictability Experiment</w:t>
      </w:r>
      <w:r>
        <w:t xml:space="preserve"> (THORPEX)</w:t>
      </w:r>
      <w:r w:rsidRPr="001E7E03">
        <w:t xml:space="preserve"> Interactive</w:t>
      </w:r>
      <w:r>
        <w:t xml:space="preserve"> Grand Global Ensemble (TIGGE)</w:t>
      </w:r>
      <w:r w:rsidRPr="001E7E03">
        <w:t xml:space="preserve"> </w:t>
      </w:r>
      <w:r>
        <w:t>(</w:t>
      </w:r>
      <w:proofErr w:type="spellStart"/>
      <w:r w:rsidRPr="001E7E03">
        <w:t>Bougeault</w:t>
      </w:r>
      <w:proofErr w:type="spellEnd"/>
      <w:r w:rsidRPr="001E7E03">
        <w:t xml:space="preserve"> et al.</w:t>
      </w:r>
      <w:r>
        <w:t xml:space="preserve"> 2010) at 0.5° horizontal grid spacing and are utilized to examine </w:t>
      </w:r>
      <w:r w:rsidRPr="00B460CB">
        <w:t xml:space="preserve">features and processes influencing the </w:t>
      </w:r>
      <w:r>
        <w:t xml:space="preserve">forecast skill </w:t>
      </w:r>
      <w:r w:rsidRPr="00B460CB">
        <w:t xml:space="preserve">of </w:t>
      </w:r>
      <w:r>
        <w:t xml:space="preserve">the intensity of </w:t>
      </w:r>
      <w:r w:rsidRPr="00B460CB">
        <w:t>AC16</w:t>
      </w:r>
      <w:r>
        <w:t xml:space="preserve">. </w:t>
      </w:r>
      <w:r w:rsidR="00A1185F">
        <w:t xml:space="preserve">The aforementioned ensemble forecasts from the ECMWF EPS are utilized because </w:t>
      </w:r>
      <w:r w:rsidR="00A1185F" w:rsidRPr="00DD7004">
        <w:t>ensemble forecasts initialized at 0000 UTC 10 August</w:t>
      </w:r>
      <w:r w:rsidR="00A1185F">
        <w:t xml:space="preserve"> </w:t>
      </w:r>
      <w:r w:rsidR="00A1185F" w:rsidRPr="00DD7004">
        <w:t>and verifying at 0000 UTC 15 August (120 h)</w:t>
      </w:r>
      <w:r w:rsidR="00A1185F" w:rsidRPr="00E13CA5">
        <w:t xml:space="preserve"> </w:t>
      </w:r>
      <w:r w:rsidR="00A1185F">
        <w:t xml:space="preserve">from </w:t>
      </w:r>
      <w:r w:rsidR="00A1185F" w:rsidRPr="002E761C">
        <w:t xml:space="preserve">the </w:t>
      </w:r>
      <w:r w:rsidR="00A1185F">
        <w:t xml:space="preserve">11-member </w:t>
      </w:r>
      <w:r w:rsidR="00A1185F" w:rsidRPr="002E761C">
        <w:t>GEFS reforecast dataset version 2</w:t>
      </w:r>
      <w:r w:rsidR="00A1185F">
        <w:t xml:space="preserve"> (Hamill et al. 2013) were identified in Biernat et al. (2023) as </w:t>
      </w:r>
      <w:r w:rsidR="00A1185F" w:rsidRPr="00DD7004">
        <w:t xml:space="preserve">low-skill forecasts </w:t>
      </w:r>
      <w:r w:rsidR="00A1185F">
        <w:t xml:space="preserve">of the synoptic-scale flow over the Arctic. </w:t>
      </w:r>
      <w:r w:rsidR="00512746">
        <w:t xml:space="preserve">The intensity and position of </w:t>
      </w:r>
      <w:r w:rsidR="00512746" w:rsidRPr="009E0E90">
        <w:t xml:space="preserve">AC16 is manually identified in </w:t>
      </w:r>
      <w:r w:rsidR="00512746">
        <w:t>each</w:t>
      </w:r>
      <w:r w:rsidR="00512746" w:rsidRPr="009E0E90">
        <w:t xml:space="preserve"> ensemble forecast at 0000 UTC 15 August (120 h).</w:t>
      </w:r>
      <w:r w:rsidR="00512746" w:rsidRPr="00512746">
        <w:t xml:space="preserve"> </w:t>
      </w:r>
      <w:r w:rsidR="00512746">
        <w:t>Figure 3 shows the intensity</w:t>
      </w:r>
      <w:r w:rsidR="00512746" w:rsidRPr="00AB29C6">
        <w:t xml:space="preserve"> </w:t>
      </w:r>
      <w:r w:rsidR="00512746">
        <w:t xml:space="preserve">and position of </w:t>
      </w:r>
      <w:r w:rsidR="00512746" w:rsidRPr="00AB29C6">
        <w:t>AC</w:t>
      </w:r>
      <w:r w:rsidR="00512746">
        <w:t>16</w:t>
      </w:r>
      <w:r w:rsidR="00512746" w:rsidRPr="00AB29C6">
        <w:t xml:space="preserve"> at </w:t>
      </w:r>
      <w:r w:rsidR="00512746">
        <w:t>0000 UTC 15 August (120 h) in ERA5 and the ensemble forecasts</w:t>
      </w:r>
      <w:r w:rsidR="00512746" w:rsidRPr="00AB29C6">
        <w:t xml:space="preserve">. </w:t>
      </w:r>
      <w:r w:rsidR="0062727E">
        <w:t>Figure 3 shows that there is</w:t>
      </w:r>
      <w:r w:rsidR="00512746" w:rsidRPr="00AB29C6">
        <w:t xml:space="preserve"> large uncertainty in th</w:t>
      </w:r>
      <w:r w:rsidR="00512746">
        <w:t xml:space="preserve">e intensity </w:t>
      </w:r>
      <w:r w:rsidR="00BF2289">
        <w:t xml:space="preserve">of </w:t>
      </w:r>
      <w:r w:rsidR="00512746" w:rsidRPr="00AB29C6">
        <w:t>AC</w:t>
      </w:r>
      <w:r w:rsidR="00512746">
        <w:t>16</w:t>
      </w:r>
      <w:r w:rsidR="00512746" w:rsidRPr="00AB29C6">
        <w:t xml:space="preserve"> at </w:t>
      </w:r>
      <w:r w:rsidR="00512746">
        <w:t>0000 UTC 15 August</w:t>
      </w:r>
      <w:r w:rsidR="00D12DD4">
        <w:t xml:space="preserve"> </w:t>
      </w:r>
      <w:r w:rsidR="00512746">
        <w:t>(120 h)</w:t>
      </w:r>
      <w:r w:rsidR="0062727E">
        <w:t>,</w:t>
      </w:r>
      <w:r w:rsidR="00BF2289">
        <w:t xml:space="preserve"> with the ensemble forecasts of minimum SLP at this time ranging between</w:t>
      </w:r>
      <w:r w:rsidR="00AD4995">
        <w:t xml:space="preserve"> &lt; 970 </w:t>
      </w:r>
      <w:proofErr w:type="spellStart"/>
      <w:r w:rsidR="00AD4995">
        <w:t>hPa</w:t>
      </w:r>
      <w:proofErr w:type="spellEnd"/>
      <w:r w:rsidR="00AD4995">
        <w:t xml:space="preserve"> (i.e.,</w:t>
      </w:r>
      <w:r w:rsidR="00BF2289">
        <w:t xml:space="preserve"> 968.7 </w:t>
      </w:r>
      <w:proofErr w:type="spellStart"/>
      <w:r w:rsidR="00BF2289">
        <w:t>hPa</w:t>
      </w:r>
      <w:proofErr w:type="spellEnd"/>
      <w:r w:rsidR="00AD4995">
        <w:t>)</w:t>
      </w:r>
      <w:r w:rsidR="00BF2289">
        <w:t xml:space="preserve"> and</w:t>
      </w:r>
      <w:r w:rsidR="00AD4995">
        <w:t xml:space="preserve"> &gt; 995 </w:t>
      </w:r>
      <w:proofErr w:type="spellStart"/>
      <w:r w:rsidR="00AD4995">
        <w:t>hPa</w:t>
      </w:r>
      <w:proofErr w:type="spellEnd"/>
      <w:r w:rsidR="00BF2289">
        <w:t xml:space="preserve"> </w:t>
      </w:r>
      <w:r w:rsidR="00AD4995">
        <w:t xml:space="preserve">(i.e., </w:t>
      </w:r>
      <w:r w:rsidR="00BF2289">
        <w:t xml:space="preserve">995.6 </w:t>
      </w:r>
      <w:proofErr w:type="spellStart"/>
      <w:r w:rsidR="00BF2289">
        <w:t>hPa</w:t>
      </w:r>
      <w:proofErr w:type="spellEnd"/>
      <w:r w:rsidR="00AD4995">
        <w:t>)</w:t>
      </w:r>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w:t>
      </w:r>
      <w:r w:rsidR="00AD4995">
        <w:t>motivates</w:t>
      </w:r>
      <w:r w:rsidR="0062727E">
        <w:t xml:space="preserve"> </w:t>
      </w:r>
      <w:bookmarkStart w:id="0" w:name="_Hlk164945687"/>
      <w:r w:rsidR="0062727E">
        <w:t xml:space="preserve">examining features and processes influencing the forecast skill of the intensity of </w:t>
      </w:r>
      <w:r w:rsidR="001C0E10">
        <w:t>AC16</w:t>
      </w:r>
      <w:bookmarkEnd w:id="0"/>
      <w:r w:rsidR="00AD4995">
        <w:t xml:space="preserve"> using the ESA technique</w:t>
      </w:r>
      <w:r w:rsidR="0062727E">
        <w:t>.</w:t>
      </w:r>
      <w:r w:rsidR="00BF2289">
        <w:t xml:space="preserve"> </w:t>
      </w:r>
    </w:p>
    <w:p w14:paraId="2C0464CD" w14:textId="05741C65" w:rsidR="00F16897" w:rsidRDefault="00F16897" w:rsidP="00DC0BCC">
      <w:pPr>
        <w:tabs>
          <w:tab w:val="left" w:pos="8820"/>
        </w:tabs>
      </w:pPr>
      <w:r>
        <w:t xml:space="preserve">The </w:t>
      </w:r>
      <w:r w:rsidR="009244EA">
        <w:t>ESA</w:t>
      </w:r>
      <w:r>
        <w:t xml:space="preserve"> technique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1714ABB4"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w:t>
      </w:r>
      <w:r>
        <w:lastRenderedPageBreak/>
        <w:t xml:space="preserve">normalization allows various model state variables characterized by different units and different intrinsic variability to be compared </w:t>
      </w:r>
      <w:r w:rsidR="00C63F62">
        <w:t xml:space="preserve">quantitatively </w:t>
      </w:r>
      <w:r>
        <w:t xml:space="preserve">(e.g.,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w:t>
      </w:r>
      <w:r w:rsidR="008A3F4E">
        <w:t>outside of</w:t>
      </w:r>
      <w:r>
        <w:t xml:space="preserve">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w:t>
      </w:r>
      <w:r w:rsidR="00C17BBD">
        <w:t xml:space="preserve"> The minimum SLP of AC16 </w:t>
      </w:r>
      <w:r w:rsidR="000E012F">
        <w:t xml:space="preserve">in the ensemble forecasts </w:t>
      </w:r>
      <w:r w:rsidR="00C17BBD">
        <w:t xml:space="preserve">at 0000 UTC 15 August (120 h) is a proxy for the intensity error of AC16 because the large majority (i.e., 47 out of 51) ensemble members have a higher minimum SLP of AC16 at </w:t>
      </w:r>
      <w:r w:rsidR="00A21EB4">
        <w:t>this time</w:t>
      </w:r>
      <w:r w:rsidR="00C17BBD">
        <w:t xml:space="preserve"> compared to ERA5, such that a </w:t>
      </w:r>
      <w:r w:rsidR="009F37B4">
        <w:t>lower</w:t>
      </w:r>
      <w:r w:rsidR="00A21EB4">
        <w:t xml:space="preserve"> minimum SLP of</w:t>
      </w:r>
      <w:r w:rsidR="00C17BBD">
        <w:t xml:space="preserve"> AC16</w:t>
      </w:r>
      <w:r w:rsidR="000E012F">
        <w:t xml:space="preserve"> in the ensemble forecasts at this time</w:t>
      </w:r>
      <w:r w:rsidR="00C17BBD">
        <w:t xml:space="preserve"> generally corresponds to a </w:t>
      </w:r>
      <w:r w:rsidR="009F37B4">
        <w:t>lower</w:t>
      </w:r>
      <w:r w:rsidR="00C17BBD">
        <w:t xml:space="preserve"> intensity error of AC16.</w:t>
      </w:r>
      <w:r w:rsidR="0028407A">
        <w:t xml:space="preserve"> </w:t>
      </w:r>
      <w:r w:rsidR="00472F9D">
        <w:t xml:space="preserve">Johnson and Wang (2021) </w:t>
      </w:r>
      <w:r w:rsidR="002D1E33">
        <w:t xml:space="preserve">similarly used minimum SLP as a metric for the intensity error in their </w:t>
      </w:r>
      <w:r w:rsidR="00472F9D">
        <w:t>ESA of an AC occurring during July 2018</w:t>
      </w:r>
      <w:r w:rsidR="002D1E33">
        <w:t>.</w:t>
      </w:r>
      <w:r w:rsidR="00472F9D">
        <w:t xml:space="preserve"> </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0C991FAC"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w:t>
      </w:r>
      <w:r w:rsidR="001B3E92">
        <w:lastRenderedPageBreak/>
        <w:t>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show that there </w:t>
      </w:r>
      <w:r w:rsidR="003C2F5D">
        <w:t xml:space="preserve">is </w:t>
      </w:r>
      <w:r w:rsidR="000F0758">
        <w:t>relatively large EGR at 500-hPa in the vicinity of AC12</w:t>
      </w:r>
      <w:r w:rsidR="00DC6A36">
        <w:t xml:space="preserve">, </w:t>
      </w:r>
      <w:r w:rsidR="000F0758">
        <w:t>and Yamagami et al. (2017) 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01DE5FB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 xml:space="preserve">strong low-skill ACs become </w:t>
      </w:r>
      <w:r w:rsidR="002F1F91">
        <w:t>cut off</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show </w:t>
      </w:r>
      <w:r w:rsidR="00DC6A36">
        <w:t xml:space="preserve">that there is a </w:t>
      </w:r>
      <w:r w:rsidR="00061CCE">
        <w:t xml:space="preserve">decrease in </w:t>
      </w:r>
      <w:r w:rsidR="0043636A">
        <w:t>EGR</w:t>
      </w:r>
      <w:r w:rsidR="00DC6A36">
        <w:t xml:space="preserve"> at 500-hPa in the vicinity of AC12, and Yamagami et al. (2017) show that there is a decrease in EGR at 700-hPa in the vicinity of AC16, a</w:t>
      </w:r>
      <w:r w:rsidR="002F1F91">
        <w:t>t about</w:t>
      </w:r>
      <w:r w:rsidR="00F43E62">
        <w:t xml:space="preserve"> the time these</w:t>
      </w:r>
      <w:r w:rsidR="00061CCE">
        <w:t xml:space="preserve"> ACs reach peak intensity.</w:t>
      </w:r>
      <w:r w:rsidR="00AB25B9" w:rsidRPr="00AB25B9">
        <w:t xml:space="preserve"> </w:t>
      </w:r>
    </w:p>
    <w:p w14:paraId="221DB154" w14:textId="321DCE22"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w:t>
      </w:r>
      <w:r w:rsidR="002F1F91">
        <w:t>s</w:t>
      </w:r>
      <w:r>
        <w:t xml:space="preserv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lastRenderedPageBreak/>
        <w:t>between</w:t>
      </w:r>
      <w:r w:rsidR="002F1F91">
        <w:t xml:space="preserve"> the PV maximum upstream of the composite AC and</w:t>
      </w:r>
      <w:r w:rsidR="00E23C13" w:rsidRPr="00E538DC">
        <w:t xml:space="preserve"> an upper-tropospheric ridge</w:t>
      </w:r>
      <w:r w:rsidR="008B3BE3">
        <w:t xml:space="preserve"> </w:t>
      </w:r>
      <w:r w:rsidR="002F1F91">
        <w:rPr>
          <w:color w:val="000000" w:themeColor="text1"/>
        </w:rPr>
        <w:t>evident in the upper-tropospheric PV field</w:t>
      </w:r>
      <w:r w:rsidR="002F1F91" w:rsidRPr="00E538DC">
        <w:t xml:space="preserve"> </w:t>
      </w:r>
      <w:r w:rsidR="00E23C13" w:rsidRPr="00E538DC">
        <w:t xml:space="preserve">downstream of </w:t>
      </w:r>
      <w:r w:rsidR="00E23C13">
        <w:t xml:space="preserve">the composite AC, and between </w:t>
      </w:r>
      <w:r w:rsidR="002F1F91">
        <w:t xml:space="preserve">the </w:t>
      </w:r>
      <w:r w:rsidR="00E23C13">
        <w:t>PV maximum northeast of the composite AC</w:t>
      </w:r>
      <w:r w:rsidR="002F1F91" w:rsidRPr="002F1F91">
        <w:t xml:space="preserve"> </w:t>
      </w:r>
      <w:r w:rsidR="002F1F91">
        <w:t xml:space="preserve">and the </w:t>
      </w:r>
      <w:r w:rsidR="002F1F91" w:rsidRPr="00E538DC">
        <w:t>u</w:t>
      </w:r>
      <w:r w:rsidR="002F1F91">
        <w:t>pper-tropospheric ridge</w:t>
      </w:r>
      <w:r w:rsidR="00E23C13">
        <w:t>,</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show that a TPV interacting with AC12 approaches AC12 while AC12 intensifies. </w:t>
      </w:r>
    </w:p>
    <w:p w14:paraId="3B71E0F8" w14:textId="3A2F06CD" w:rsidR="0089070F" w:rsidRPr="00244F96" w:rsidRDefault="0093492C" w:rsidP="002F1F91">
      <w:pPr>
        <w:rPr>
          <w:color w:val="000000" w:themeColor="text1"/>
        </w:rPr>
      </w:pPr>
      <w:r>
        <w:t xml:space="preserve">The </w:t>
      </w:r>
      <w:r w:rsidRPr="00C632E7">
        <w:t>upper-tropospheric PV maximum</w:t>
      </w:r>
      <w:r w:rsidR="00FF784B">
        <w:t xml:space="preserve"> upstream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The vertical superposition of TPVs and strong low-skill ACs suggest</w:t>
      </w:r>
      <w:r w:rsidR="006F355D">
        <w:t>s</w:t>
      </w:r>
      <w:r w:rsidR="0089070F">
        <w:t xml:space="preserve"> the strong low-skill ACs </w:t>
      </w:r>
      <w:r w:rsidR="00F15B7D">
        <w:t xml:space="preserve">are </w:t>
      </w:r>
      <w:r w:rsidR="0089070F">
        <w:t xml:space="preserve">becoming </w:t>
      </w:r>
      <w:r w:rsidR="002F1F91">
        <w:t>increasingly</w:t>
      </w:r>
      <w:r w:rsidR="0089070F">
        <w:t xml:space="preserve"> equivalent barotropic in structure. In addition, a 1000–500-hPa thickness minimum </w:t>
      </w:r>
      <w:r w:rsidR="002F1F91">
        <w:t xml:space="preserve">approaches </w:t>
      </w:r>
      <w:r w:rsidR="0089070F">
        <w:t>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 xml:space="preserve">(Figs. </w:t>
      </w:r>
      <w:r w:rsidR="002F1F91">
        <w:t>4</w:t>
      </w:r>
      <w:proofErr w:type="gramStart"/>
      <w:r w:rsidR="0089070F">
        <w:t>e,f</w:t>
      </w:r>
      <w:proofErr w:type="gramEnd"/>
      <w:r w:rsidR="0089070F">
        <w:t xml:space="preserve">), further suggesting that the strong low-skill ACs </w:t>
      </w:r>
      <w:r w:rsidR="00F15B7D">
        <w:t xml:space="preserve">are </w:t>
      </w:r>
      <w:r w:rsidR="0089070F">
        <w:t>becoming</w:t>
      </w:r>
      <w:r w:rsidR="002F1F91">
        <w:t xml:space="preserve"> increasingly</w:t>
      </w:r>
      <w:r w:rsidR="0089070F" w:rsidRPr="00285325">
        <w:t xml:space="preserve"> equivalent barotropic in structure.</w:t>
      </w:r>
      <w:r w:rsidR="0089070F">
        <w:t xml:space="preserve"> Several previous studies describe ACs as becoming</w:t>
      </w:r>
      <w:r w:rsidR="00906CDD">
        <w:t xml:space="preserve"> </w:t>
      </w:r>
      <w:r w:rsidR="0089070F">
        <w:t xml:space="preserve">equivalent barotropic in structure at </w:t>
      </w:r>
      <w:r w:rsidR="002F1F91">
        <w:t>about</w:t>
      </w:r>
      <w:r w:rsidR="0089070F">
        <w:t xml:space="preserve">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Vessey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axisymmetric cold</w:t>
      </w:r>
      <w:r w:rsidR="005012A2">
        <w:t>-core structure throughout the troposphere</w:t>
      </w:r>
      <w:r w:rsidR="00893B52">
        <w:t>,</w:t>
      </w:r>
      <w:r w:rsidR="00906CDD">
        <w:t xml:space="preserve"> with a lowered tropo</w:t>
      </w:r>
      <w:r w:rsidR="002F1F91">
        <w:t>pause</w:t>
      </w:r>
      <w:r w:rsidR="00906CDD">
        <w:t xml:space="preserve"> above the ACs</w:t>
      </w:r>
      <w:r w:rsidR="00893B52">
        <w:t>,</w:t>
      </w:r>
      <w:r w:rsidR="005012A2">
        <w:t xml:space="preserve"> </w:t>
      </w:r>
      <w:r w:rsidR="002F1F91">
        <w:t>at about</w:t>
      </w:r>
      <w:r w:rsidR="005012A2">
        <w:t xml:space="preserve"> the time the ACs reach peak intensity. </w:t>
      </w:r>
      <w:r w:rsidR="002F1F91">
        <w:rPr>
          <w:color w:val="000000" w:themeColor="text1"/>
        </w:rPr>
        <w:t>There is a transition of the</w:t>
      </w:r>
      <w:r w:rsidR="002F1F91" w:rsidRPr="00CB1B80">
        <w:rPr>
          <w:color w:val="000000" w:themeColor="text1"/>
        </w:rPr>
        <w:t xml:space="preserve"> composite AC</w:t>
      </w:r>
      <w:r w:rsidR="002F1F91">
        <w:rPr>
          <w:color w:val="000000" w:themeColor="text1"/>
        </w:rPr>
        <w:t xml:space="preserve"> </w:t>
      </w:r>
      <w:r w:rsidR="002F1F91" w:rsidRPr="00CB1B80">
        <w:rPr>
          <w:color w:val="000000" w:themeColor="text1"/>
        </w:rPr>
        <w:t xml:space="preserve">from </w:t>
      </w:r>
      <w:r w:rsidR="002F1F91">
        <w:rPr>
          <w:color w:val="000000" w:themeColor="text1"/>
        </w:rPr>
        <w:t>a location</w:t>
      </w:r>
      <w:r w:rsidR="002F1F91" w:rsidRPr="00CB1B80">
        <w:rPr>
          <w:color w:val="000000" w:themeColor="text1"/>
        </w:rPr>
        <w:t xml:space="preserve"> in a region of strong lower-to-</w:t>
      </w:r>
      <w:proofErr w:type="spellStart"/>
      <w:r w:rsidR="002F1F91" w:rsidRPr="00CB1B80">
        <w:rPr>
          <w:color w:val="000000" w:themeColor="text1"/>
        </w:rPr>
        <w:t>midtropospheric</w:t>
      </w:r>
      <w:proofErr w:type="spellEnd"/>
      <w:r w:rsidR="002F1F91" w:rsidRPr="00CB1B80">
        <w:rPr>
          <w:color w:val="000000" w:themeColor="text1"/>
        </w:rPr>
        <w:t xml:space="preserve"> baroclinicity (Figs. 4a–d) downstream of </w:t>
      </w:r>
      <w:r w:rsidR="002F1F91">
        <w:rPr>
          <w:color w:val="000000" w:themeColor="text1"/>
        </w:rPr>
        <w:t>the</w:t>
      </w:r>
      <w:r w:rsidR="002F1F91" w:rsidRPr="00CB1B80">
        <w:rPr>
          <w:color w:val="000000" w:themeColor="text1"/>
        </w:rPr>
        <w:t xml:space="preserve"> upper-tropospheric PV maximum</w:t>
      </w:r>
      <w:r w:rsidR="002F1F91">
        <w:rPr>
          <w:color w:val="000000" w:themeColor="text1"/>
        </w:rPr>
        <w:t xml:space="preserve"> upstream of the composite AC</w:t>
      </w:r>
      <w:r w:rsidR="002F1F91" w:rsidRPr="00CB1B80">
        <w:rPr>
          <w:color w:val="000000" w:themeColor="text1"/>
        </w:rPr>
        <w:t xml:space="preserve"> (Figs. 6a–d) during t</w:t>
      </w:r>
      <w:r w:rsidR="002F1F91" w:rsidRPr="00CB1B80">
        <w:rPr>
          <w:color w:val="000000" w:themeColor="text1"/>
          <w:vertAlign w:val="subscript"/>
        </w:rPr>
        <w:t>low</w:t>
      </w:r>
      <w:r w:rsidR="002F1F91" w:rsidRPr="00CB1B80">
        <w:rPr>
          <w:color w:val="000000" w:themeColor="text1"/>
        </w:rPr>
        <w:t>−48 h through t</w:t>
      </w:r>
      <w:r w:rsidR="002F1F91" w:rsidRPr="00CB1B80">
        <w:rPr>
          <w:color w:val="000000" w:themeColor="text1"/>
          <w:vertAlign w:val="subscript"/>
        </w:rPr>
        <w:t>low</w:t>
      </w:r>
      <w:r w:rsidR="002F1F91" w:rsidRPr="00CB1B80">
        <w:rPr>
          <w:color w:val="000000" w:themeColor="text1"/>
        </w:rPr>
        <w:t xml:space="preserve">−12 h to </w:t>
      </w:r>
      <w:r w:rsidR="002F1F91">
        <w:rPr>
          <w:color w:val="000000" w:themeColor="text1"/>
        </w:rPr>
        <w:t>a location</w:t>
      </w:r>
      <w:r w:rsidR="002F1F91" w:rsidRPr="00CB1B80">
        <w:rPr>
          <w:color w:val="000000" w:themeColor="text1"/>
        </w:rPr>
        <w:t xml:space="preserve"> closer to the 1000–500-hPa</w:t>
      </w:r>
      <w:r w:rsidR="002F1F91">
        <w:rPr>
          <w:color w:val="000000" w:themeColor="text1"/>
        </w:rPr>
        <w:t xml:space="preserve"> thickness</w:t>
      </w:r>
      <w:r w:rsidR="002F1F91" w:rsidRPr="00CB1B80">
        <w:rPr>
          <w:color w:val="000000" w:themeColor="text1"/>
        </w:rPr>
        <w:t xml:space="preserve"> minimum (Figs. 4</w:t>
      </w:r>
      <w:proofErr w:type="gramStart"/>
      <w:r w:rsidR="002F1F91" w:rsidRPr="00CB1B80">
        <w:rPr>
          <w:color w:val="000000" w:themeColor="text1"/>
        </w:rPr>
        <w:t>e,f</w:t>
      </w:r>
      <w:proofErr w:type="gramEnd"/>
      <w:r w:rsidR="002F1F91" w:rsidRPr="00CB1B80">
        <w:rPr>
          <w:color w:val="000000" w:themeColor="text1"/>
        </w:rPr>
        <w:t>) and beneath the upper-tropospheric PV maximum (Figs. 6e,f) during t</w:t>
      </w:r>
      <w:r w:rsidR="002F1F91" w:rsidRPr="00CB1B80">
        <w:rPr>
          <w:color w:val="000000" w:themeColor="text1"/>
          <w:vertAlign w:val="subscript"/>
        </w:rPr>
        <w:t>low</w:t>
      </w:r>
      <w:r w:rsidR="002F1F91" w:rsidRPr="00CB1B80">
        <w:rPr>
          <w:color w:val="000000" w:themeColor="text1"/>
        </w:rPr>
        <w:t xml:space="preserve"> through t</w:t>
      </w:r>
      <w:r w:rsidR="002F1F91" w:rsidRPr="00CB1B80">
        <w:rPr>
          <w:color w:val="000000" w:themeColor="text1"/>
          <w:vertAlign w:val="subscript"/>
        </w:rPr>
        <w:t>low</w:t>
      </w:r>
      <w:r w:rsidR="002F1F91" w:rsidRPr="00CB1B80">
        <w:rPr>
          <w:color w:val="000000" w:themeColor="text1"/>
        </w:rPr>
        <w:t>+12 h</w:t>
      </w:r>
      <w:r w:rsidR="002F1F91">
        <w:rPr>
          <w:color w:val="000000" w:themeColor="text1"/>
        </w:rPr>
        <w:t>. This transition of the composite AC</w:t>
      </w:r>
      <w:r w:rsidR="002F1F91" w:rsidRPr="00CB1B80">
        <w:rPr>
          <w:color w:val="000000" w:themeColor="text1"/>
        </w:rPr>
        <w:t xml:space="preserve"> may </w:t>
      </w:r>
      <w:r w:rsidR="002F1F91">
        <w:rPr>
          <w:color w:val="000000" w:themeColor="text1"/>
        </w:rPr>
        <w:t xml:space="preserve">suggest that like with the aforementioned ACs in </w:t>
      </w:r>
      <w:proofErr w:type="spellStart"/>
      <w:r w:rsidR="002F1F91">
        <w:rPr>
          <w:color w:val="000000" w:themeColor="text1"/>
        </w:rPr>
        <w:t>Vessey</w:t>
      </w:r>
      <w:proofErr w:type="spellEnd"/>
      <w:r w:rsidR="002F1F91">
        <w:rPr>
          <w:color w:val="000000" w:themeColor="text1"/>
        </w:rPr>
        <w:t xml:space="preserve"> et al. (2022), there is a</w:t>
      </w:r>
      <w:r w:rsidR="002F1F91" w:rsidRPr="00CB1B80">
        <w:rPr>
          <w:color w:val="000000" w:themeColor="text1"/>
        </w:rPr>
        <w:t xml:space="preserve"> transition of </w:t>
      </w:r>
      <w:r w:rsidR="002F1F91" w:rsidRPr="00CB1B80">
        <w:rPr>
          <w:color w:val="000000" w:themeColor="text1"/>
        </w:rPr>
        <w:lastRenderedPageBreak/>
        <w:t>the strong low-skill ACs from having a baroclinic structure to a</w:t>
      </w:r>
      <w:r w:rsidR="002F1F91">
        <w:rPr>
          <w:color w:val="000000" w:themeColor="text1"/>
        </w:rPr>
        <w:t>n increasingly</w:t>
      </w:r>
      <w:r w:rsidR="002F1F91" w:rsidRPr="00CB1B80">
        <w:rPr>
          <w:color w:val="000000" w:themeColor="text1"/>
        </w:rPr>
        <w:t xml:space="preserve"> axisymmetric cold-core structure throughout the troposphere.</w:t>
      </w:r>
    </w:p>
    <w:p w14:paraId="0AD1AE3E" w14:textId="2D56DBEE"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u</w:t>
      </w:r>
      <w:r>
        <w:t>pper-tropospheric divergence, upper-tropospheric</w:t>
      </w:r>
      <w:r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Pr="007E2783">
        <w:t xml:space="preserve">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 xml:space="preserve">regions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found in the suggested region of </w:t>
      </w:r>
      <w:r w:rsidR="00402533">
        <w:t>lateral</w:t>
      </w:r>
      <w:r>
        <w:t xml:space="preserve"> jet coupling at</w:t>
      </w:r>
      <w:r w:rsidRPr="003948F2">
        <w:t xml:space="preserve"> </w:t>
      </w:r>
      <w:r>
        <w:t>t</w:t>
      </w:r>
      <w:r w:rsidRPr="00C10F96">
        <w:rPr>
          <w:vertAlign w:val="subscript"/>
        </w:rPr>
        <w:t>low</w:t>
      </w:r>
      <w:r>
        <w:t xml:space="preserve">−48 h (Fig. 4a), and in and near the poleward exit region of </w:t>
      </w:r>
      <w:r w:rsidR="00B4165D">
        <w:t xml:space="preserve">the </w:t>
      </w:r>
      <w:r>
        <w:t>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corridor</w:t>
      </w:r>
      <w:r w:rsidR="00B4165D">
        <w:t xml:space="preserve"> </w:t>
      </w:r>
      <w:r>
        <w:t xml:space="preserve">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Biernat et al. (2023, section 2c), positive values of IMFC are used as a proxy for latent heating</w:t>
      </w:r>
      <w:r w:rsidR="00B4165D">
        <w:t>.</w:t>
      </w:r>
      <w:r w:rsidR="005B6B46">
        <w:t xml:space="preserve">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 xml:space="preserve">implies that latent heating is occurring in the vicinity of the </w:t>
      </w:r>
      <w:r w:rsidR="00B4165D">
        <w:t xml:space="preserve">centers of the </w:t>
      </w:r>
      <w:r>
        <w:t xml:space="preserve">strong low-skill ACs and is likely contributing to the intensification of the strong low-skill ACs. The </w:t>
      </w:r>
      <w:r w:rsidR="00B4165D">
        <w:t>patterns</w:t>
      </w:r>
      <w:r>
        <w:t xml:space="preserve">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t>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78400D27"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w:t>
      </w:r>
      <w:r w:rsidR="00B4165D">
        <w:t>remainder</w:t>
      </w:r>
      <w:r w:rsidR="00C2162E">
        <w:t xml:space="preserve"> of the present study will </w:t>
      </w:r>
      <w:r w:rsidR="00C2162E">
        <w:lastRenderedPageBreak/>
        <w:t xml:space="preserve">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related to the</w:t>
      </w:r>
      <w:r>
        <w:t xml:space="preserve"> TPVs </w:t>
      </w:r>
      <w:r>
        <w:lastRenderedPageBreak/>
        <w:t xml:space="preserve">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Ban et al. (2023)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0D9DBDB9" w14:textId="705D8FB3" w:rsidR="0074103F" w:rsidRPr="00FB446D" w:rsidRDefault="0074103F" w:rsidP="00FB446D">
      <w:pPr>
        <w:rPr>
          <w:color w:val="000000" w:themeColor="text1"/>
        </w:rPr>
      </w:pPr>
      <w:r>
        <w:t>In addition, an upper-tropospheric rid</w:t>
      </w:r>
      <w:r w:rsidR="004D2663">
        <w:t>g</w:t>
      </w:r>
      <w:r>
        <w:t>e amplifies downstream of AC16 during 0000 UTC 14–1200 UTC 16 August</w:t>
      </w:r>
      <w:r w:rsidR="00F859E6">
        <w:t xml:space="preserve"> (Figs. 10a–f)</w:t>
      </w:r>
      <w:r>
        <w:t xml:space="preserve">. Upper-tropospheric irrotational </w:t>
      </w:r>
      <w:r w:rsidR="006613BC">
        <w:t xml:space="preserve">outflow </w:t>
      </w:r>
      <w:r>
        <w:t>in the vicinity of AC16</w:t>
      </w:r>
      <w:r w:rsidR="006613BC">
        <w:t xml:space="preserve"> </w:t>
      </w:r>
      <w:r>
        <w:t>appear</w:t>
      </w:r>
      <w:r w:rsidR="006613BC">
        <w:t>s</w:t>
      </w:r>
      <w:r>
        <w:t xml:space="preserve"> to be directed across the upper-tropospheric </w:t>
      </w:r>
      <w:r w:rsidR="006613BC">
        <w:t>PV contours at and near the crest of the upper-tropospheric ridge</w:t>
      </w:r>
      <w:r w:rsidR="00F859E6">
        <w:t xml:space="preserve"> </w:t>
      </w:r>
      <w:r w:rsidR="00650AA0">
        <w:t>during 0000 UTC 14–</w:t>
      </w:r>
      <w:r w:rsidR="00AB26B0">
        <w:t>00</w:t>
      </w:r>
      <w:r w:rsidR="00650AA0">
        <w:t xml:space="preserve">00 UTC 15 August </w:t>
      </w:r>
      <w:r w:rsidR="00F859E6">
        <w:t>(Figs. 10a–c)</w:t>
      </w:r>
      <w:r w:rsidR="006613BC">
        <w:t xml:space="preserve">, suggesting that there </w:t>
      </w:r>
      <w:r w:rsidR="004D2663">
        <w:t>is likely</w:t>
      </w:r>
      <w:r w:rsidR="006613BC">
        <w:t xml:space="preserve"> negative PV advection by the irrotational wind at and near the crest of the upper-tropospheric ridge</w:t>
      </w:r>
      <w:r w:rsidR="00650AA0">
        <w:t xml:space="preserve"> that </w:t>
      </w:r>
      <w:r w:rsidR="004D2663">
        <w:t xml:space="preserve">may </w:t>
      </w:r>
      <w:r w:rsidR="00650AA0">
        <w:t>contribute to the upper-</w:t>
      </w:r>
      <w:r w:rsidR="00650AA0">
        <w:lastRenderedPageBreak/>
        <w:t>tropospheric ridge</w:t>
      </w:r>
      <w:r w:rsidR="00A049C0">
        <w:t xml:space="preserve"> amplification</w:t>
      </w:r>
      <w:r w:rsidR="006613BC">
        <w:t xml:space="preserve"> during this period.</w:t>
      </w:r>
      <w:r w:rsidR="00650AA0">
        <w:t xml:space="preserve"> </w:t>
      </w:r>
      <w:r w:rsidR="006613BC">
        <w:t>Since the upper-tropospheric irrotational outflow is likely a signature of latent heating,</w:t>
      </w:r>
      <w:r w:rsidR="00AB26B0">
        <w:t xml:space="preserve"> </w:t>
      </w:r>
      <w:r w:rsidR="006613BC">
        <w:t xml:space="preserve">the negative PV advection by the irrotational wind associated with the upper-tropospheric irrotational outflow suggests that latent heating </w:t>
      </w:r>
      <w:r w:rsidR="00A049C0">
        <w:t>contributes</w:t>
      </w:r>
      <w:r w:rsidR="006613BC">
        <w:t xml:space="preserve"> to the upper-tropospheric ridge </w:t>
      </w:r>
      <w:r w:rsidR="00A049C0">
        <w:t>amplification</w:t>
      </w:r>
      <w:r w:rsidR="006613BC">
        <w:t xml:space="preserve"> during 0000 UTC 14–</w:t>
      </w:r>
      <w:r w:rsidR="00A049C0">
        <w:t>00</w:t>
      </w:r>
      <w:r w:rsidR="006613BC">
        <w:t>00 UTC 15 August.</w:t>
      </w:r>
      <w:r w:rsidR="006C47D6">
        <w:t xml:space="preserve"> Negative PV advection by the irrotational wind associated with </w:t>
      </w:r>
      <w:proofErr w:type="spellStart"/>
      <w:r w:rsidR="006C47D6">
        <w:t>diabatically</w:t>
      </w:r>
      <w:proofErr w:type="spellEnd"/>
      <w:r w:rsidR="006C47D6">
        <w:t>-driven upper-tropospheric outflow has been shown to play an important role in ridge amplification downstream of recurving</w:t>
      </w:r>
      <w:r w:rsidR="00674E20">
        <w:t xml:space="preserve"> </w:t>
      </w:r>
      <w:r w:rsidR="006C47D6">
        <w:t>tropical cyclones</w:t>
      </w:r>
      <w:r w:rsidR="00674E20">
        <w:t xml:space="preserve"> and tropical cyclones</w:t>
      </w:r>
      <w:r w:rsidR="006C47D6">
        <w:t xml:space="preserve"> undergoing extratropic</w:t>
      </w:r>
      <w:r w:rsidR="00C67B56">
        <w:t>al</w:t>
      </w:r>
      <w:r w:rsidR="006C47D6">
        <w:t xml:space="preserve"> transition (e.g., Archambault</w:t>
      </w:r>
      <w:r w:rsidR="00674E20">
        <w:t xml:space="preserve"> et al. 2015; </w:t>
      </w:r>
      <w:r w:rsidR="00C67B56">
        <w:t>K</w:t>
      </w:r>
      <w:r w:rsidR="00674E20">
        <w:t>eller et al. 2019)</w:t>
      </w:r>
      <w:r w:rsidR="006C47D6">
        <w:t>.</w:t>
      </w:r>
      <w:r w:rsidR="006613BC">
        <w:t xml:space="preserve"> </w:t>
      </w:r>
      <w:r w:rsidR="00650AA0">
        <w:t>T</w:t>
      </w:r>
      <w:r w:rsidR="00F859E6">
        <w:t>he evolution of the upper-tropospheric ridge during 0000 UTC 15–1200 UTC 16 August (Figs.</w:t>
      </w:r>
      <w:r w:rsidR="008A32A9">
        <w:t xml:space="preserve"> 10c–f)</w:t>
      </w:r>
      <w:r w:rsidR="003B6A46">
        <w:t xml:space="preserve"> and during 0000 UTC 17–0000 UTC 18 August (not shown)</w:t>
      </w:r>
      <w:r w:rsidR="00F859E6">
        <w:t xml:space="preserve"> </w:t>
      </w:r>
      <w:r w:rsidR="00AB26B0">
        <w:t>indicates</w:t>
      </w:r>
      <w:r w:rsidR="00F859E6">
        <w:t xml:space="preserve"> that cyclonic wave breaking</w:t>
      </w:r>
      <w:r w:rsidR="008A32A9">
        <w:t xml:space="preserve"> (e.g., Thorncroft et al. 1993) </w:t>
      </w:r>
      <w:r w:rsidR="00AB26B0">
        <w:t>is possibly</w:t>
      </w:r>
      <w:r w:rsidR="00F859E6">
        <w:t xml:space="preserve"> occurring</w:t>
      </w:r>
      <w:r w:rsidR="00A049C0">
        <w:t xml:space="preserve"> over the Arctic</w:t>
      </w:r>
      <w:r w:rsidR="008A32A9">
        <w:t xml:space="preserve"> during this period. </w:t>
      </w:r>
      <w:r w:rsidR="008A32A9">
        <w:rPr>
          <w:color w:val="000000" w:themeColor="text1"/>
        </w:rPr>
        <w:t xml:space="preserve">The TPV that approaches </w:t>
      </w:r>
      <w:r w:rsidR="003B6A46">
        <w:rPr>
          <w:color w:val="000000" w:themeColor="text1"/>
        </w:rPr>
        <w:t xml:space="preserve">and then becomes </w:t>
      </w:r>
      <w:r w:rsidR="008A32A9">
        <w:rPr>
          <w:color w:val="000000" w:themeColor="text1"/>
        </w:rPr>
        <w:t>vertically superposed with AC16 during 0000</w:t>
      </w:r>
      <w:r w:rsidR="003B6A46">
        <w:rPr>
          <w:color w:val="000000" w:themeColor="text1"/>
        </w:rPr>
        <w:t xml:space="preserve"> UTC 15</w:t>
      </w:r>
      <w:r w:rsidR="008A32A9">
        <w:rPr>
          <w:color w:val="000000" w:themeColor="text1"/>
        </w:rPr>
        <w:t>–1200 UTC 16 August moves along the edge of the upper-tropospheric ridge</w:t>
      </w:r>
      <w:r w:rsidR="003B6A46">
        <w:rPr>
          <w:color w:val="000000" w:themeColor="text1"/>
        </w:rPr>
        <w:t xml:space="preserve"> during this period </w:t>
      </w:r>
      <w:r w:rsidR="004D2663">
        <w:rPr>
          <w:color w:val="000000" w:themeColor="text1"/>
        </w:rPr>
        <w:t xml:space="preserve">(Figs. 10c–f) </w:t>
      </w:r>
      <w:r w:rsidR="003B6A46">
        <w:rPr>
          <w:color w:val="000000" w:themeColor="text1"/>
        </w:rPr>
        <w:t>and during 0000 UTC 17–0000 UTC 18 August (not shown)</w:t>
      </w:r>
      <w:r w:rsidR="008A32A9">
        <w:rPr>
          <w:color w:val="000000" w:themeColor="text1"/>
        </w:rPr>
        <w:t xml:space="preserve"> as the</w:t>
      </w:r>
      <w:r w:rsidR="00AB26B0">
        <w:rPr>
          <w:color w:val="000000" w:themeColor="text1"/>
        </w:rPr>
        <w:t xml:space="preserve"> possible</w:t>
      </w:r>
      <w:r w:rsidR="008A32A9">
        <w:rPr>
          <w:color w:val="000000" w:themeColor="text1"/>
        </w:rPr>
        <w:t xml:space="preserve"> cyclonic wave breaking </w:t>
      </w:r>
      <w:r w:rsidR="00650AA0">
        <w:rPr>
          <w:color w:val="000000" w:themeColor="text1"/>
        </w:rPr>
        <w:t>occurs</w:t>
      </w:r>
      <w:r w:rsidR="008A32A9">
        <w:rPr>
          <w:color w:val="000000" w:themeColor="text1"/>
        </w:rPr>
        <w:t>,</w:t>
      </w:r>
      <w:r w:rsidR="00650AA0">
        <w:rPr>
          <w:color w:val="000000" w:themeColor="text1"/>
        </w:rPr>
        <w:t xml:space="preserve"> suggesting that cyclonic wave breaking</w:t>
      </w:r>
      <w:r w:rsidR="008A32A9">
        <w:rPr>
          <w:color w:val="000000" w:themeColor="text1"/>
        </w:rPr>
        <w:t xml:space="preserve"> may contribute to the cyclonic loop of AC16 during </w:t>
      </w:r>
      <w:r w:rsidR="003B6A46">
        <w:rPr>
          <w:color w:val="000000" w:themeColor="text1"/>
        </w:rPr>
        <w:t>15–18 August</w:t>
      </w:r>
      <w:r w:rsidR="00AB26B0">
        <w:rPr>
          <w:color w:val="000000" w:themeColor="text1"/>
        </w:rPr>
        <w:t xml:space="preserve"> </w:t>
      </w:r>
      <w:r w:rsidR="00A049C0">
        <w:rPr>
          <w:color w:val="000000" w:themeColor="text1"/>
        </w:rPr>
        <w:t>(</w:t>
      </w:r>
      <w:r w:rsidR="003B6A46">
        <w:rPr>
          <w:color w:val="000000" w:themeColor="text1"/>
        </w:rPr>
        <w:t xml:space="preserve">Fig. </w:t>
      </w:r>
      <w:r w:rsidR="008A0976">
        <w:rPr>
          <w:color w:val="000000" w:themeColor="text1"/>
        </w:rPr>
        <w:t>2a</w:t>
      </w:r>
      <w:r w:rsidR="00A049C0">
        <w:rPr>
          <w:color w:val="000000" w:themeColor="text1"/>
        </w:rPr>
        <w:t>) that was</w:t>
      </w:r>
      <w:r w:rsidR="00AB26B0">
        <w:rPr>
          <w:color w:val="000000" w:themeColor="text1"/>
        </w:rPr>
        <w:t xml:space="preserve"> mentioned in section 2b</w:t>
      </w:r>
      <w:r w:rsidR="003B6A46">
        <w:rPr>
          <w:color w:val="000000" w:themeColor="text1"/>
        </w:rPr>
        <w:t>.</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w:t>
      </w:r>
      <w:r w:rsidR="00683C5D">
        <w:rPr>
          <w:i w:val="0"/>
          <w:iCs/>
        </w:rPr>
        <w:lastRenderedPageBreak/>
        <w:t xml:space="preserve">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13a,b),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lastRenderedPageBreak/>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w:t>
      </w:r>
      <w:r w:rsidR="00EC00E2" w:rsidRPr="00EC00E2">
        <w:rPr>
          <w:rFonts w:eastAsia="MS Mincho"/>
          <w:i w:val="0"/>
          <w:kern w:val="0"/>
          <w:szCs w:val="24"/>
        </w:rPr>
        <w:lastRenderedPageBreak/>
        <w:t>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13E83324" w:rsidR="00995D41" w:rsidRPr="00995D41" w:rsidRDefault="00FC1451" w:rsidP="00995D41">
      <w:pPr>
        <w:pStyle w:val="H2"/>
        <w:ind w:firstLine="360"/>
        <w:rPr>
          <w:rFonts w:eastAsia="MS Mincho"/>
          <w:i w:val="0"/>
          <w:kern w:val="0"/>
          <w:szCs w:val="24"/>
        </w:rPr>
      </w:pPr>
      <w:r w:rsidRPr="00FC1451">
        <w:rPr>
          <w:i w:val="0"/>
          <w:iCs/>
        </w:rPr>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Kuo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Default="00995D41" w:rsidP="00691A1B">
      <w:pPr>
        <w:pStyle w:val="H2"/>
        <w:ind w:firstLine="360"/>
        <w:rPr>
          <w:rFonts w:eastAsia="MS Mincho"/>
          <w:i w:val="0"/>
          <w:kern w:val="0"/>
          <w:szCs w:val="24"/>
        </w:rPr>
      </w:pPr>
    </w:p>
    <w:p w14:paraId="650487A5" w14:textId="77777777" w:rsidR="00DD43CD" w:rsidRPr="00691A1B" w:rsidRDefault="00DD43CD"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lastRenderedPageBreak/>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Vessey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Tao et al. 2017b; Yamagami et al. 2018; Capute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r w:rsidR="001E1689">
        <w:t xml:space="preserve">Croad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w:t>
      </w:r>
      <w:r>
        <w:lastRenderedPageBreak/>
        <w:t xml:space="preserve">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5CE64D25"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7E2B2E">
        <w:t xml:space="preserve">the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Biernat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Biernat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Biernat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C6430EC"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the </w:t>
      </w:r>
      <w:r w:rsidRPr="00D35A5D">
        <w:t xml:space="preserve">strong low-skill ACs to those influencing the evolution and forecast skill of </w:t>
      </w:r>
      <w:r>
        <w:t xml:space="preserve">the </w:t>
      </w:r>
      <w:r w:rsidRPr="00D35A5D">
        <w:t xml:space="preserve">intensity of strong low-skill </w:t>
      </w:r>
      <w:r w:rsidRPr="00D35A5D">
        <w:lastRenderedPageBreak/>
        <w:t>midlatitude cyclones</w:t>
      </w:r>
      <w:r>
        <w:t>, which would complement other studies comparing ACs and midlatitude cyclones (e.g., Capute and Torn 2021; Vessey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Vessey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It is speculated that 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experience less disruption due to horizontal wind shear compared to midlatitude cyclones, allowing ACs </w:t>
      </w:r>
      <w:r>
        <w:rPr>
          <w:color w:val="000000" w:themeColor="text1"/>
        </w:rPr>
        <w:t xml:space="preserve">to have a longer lifetime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65A2BFBF" w14:textId="77777777" w:rsidR="001A3CEF" w:rsidRDefault="001A3CEF" w:rsidP="00EB28F4">
      <w:pPr>
        <w:rPr>
          <w:szCs w:val="24"/>
          <w:lang w:eastAsia="en-IN"/>
        </w:rPr>
      </w:pPr>
    </w:p>
    <w:p w14:paraId="3C13DA5D" w14:textId="77777777" w:rsidR="001A3CEF" w:rsidRDefault="001A3CEF" w:rsidP="00EB28F4">
      <w:pPr>
        <w:rPr>
          <w:szCs w:val="24"/>
          <w:lang w:eastAsia="en-IN"/>
        </w:rPr>
      </w:pPr>
    </w:p>
    <w:p w14:paraId="79336BC0" w14:textId="77777777" w:rsidR="001A3CEF" w:rsidRDefault="001A3CEF" w:rsidP="00EB28F4">
      <w:pPr>
        <w:rPr>
          <w:szCs w:val="24"/>
          <w:lang w:eastAsia="en-IN"/>
        </w:rPr>
      </w:pPr>
    </w:p>
    <w:p w14:paraId="77C350A1" w14:textId="77777777" w:rsidR="001A3CEF" w:rsidRDefault="001A3CEF" w:rsidP="00EB28F4">
      <w:pPr>
        <w:rPr>
          <w:szCs w:val="24"/>
          <w:lang w:eastAsia="en-IN"/>
        </w:rPr>
      </w:pPr>
    </w:p>
    <w:p w14:paraId="7A03557B" w14:textId="77777777" w:rsidR="001A3CEF" w:rsidRDefault="001A3CEF" w:rsidP="00EB28F4">
      <w:pPr>
        <w:rPr>
          <w:szCs w:val="24"/>
          <w:lang w:eastAsia="en-IN"/>
        </w:rPr>
      </w:pPr>
    </w:p>
    <w:p w14:paraId="495217C5" w14:textId="77777777" w:rsidR="001A3CEF" w:rsidRPr="00EB28F4" w:rsidRDefault="001A3CEF" w:rsidP="00DD43CD">
      <w:pPr>
        <w:ind w:firstLine="0"/>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07E04F24" w14:textId="64AA23C0" w:rsidR="00674E20" w:rsidRPr="00674E20" w:rsidRDefault="00674E20" w:rsidP="00674E20">
      <w:pPr>
        <w:ind w:left="360" w:hanging="360"/>
      </w:pPr>
      <w:r w:rsidRPr="00674E20">
        <w:t>Archambault, H. M.,</w:t>
      </w:r>
      <w:r>
        <w:t xml:space="preserve"> D. Keyser, </w:t>
      </w:r>
      <w:r w:rsidRPr="00674E20">
        <w:t>L. F. Bosart,</w:t>
      </w:r>
      <w:r>
        <w:t xml:space="preserve"> </w:t>
      </w:r>
      <w:r w:rsidRPr="00674E20">
        <w:t>C.</w:t>
      </w:r>
      <w:r>
        <w:t xml:space="preserve"> </w:t>
      </w:r>
      <w:r w:rsidRPr="00674E20">
        <w:t>A.</w:t>
      </w:r>
      <w:r>
        <w:t xml:space="preserve"> </w:t>
      </w:r>
      <w:r w:rsidRPr="00674E20">
        <w:t>Davis, and J.</w:t>
      </w:r>
      <w:r>
        <w:t xml:space="preserve"> </w:t>
      </w:r>
      <w:r w:rsidRPr="00674E20">
        <w:t>M. Cordeira, 2015:</w:t>
      </w:r>
      <w:r>
        <w:t xml:space="preserve"> </w:t>
      </w:r>
      <w:r w:rsidRPr="00674E20">
        <w:t xml:space="preserve">A composite perspective of the extratropical flow response to recurving western North Pacific tropical cyclones. </w:t>
      </w:r>
      <w:r w:rsidRPr="00674E20">
        <w:rPr>
          <w:i/>
          <w:iCs/>
        </w:rPr>
        <w:t>Mon. Wea. Rev.</w:t>
      </w:r>
      <w:r w:rsidRPr="00674E20">
        <w:t xml:space="preserve">, </w:t>
      </w:r>
      <w:r w:rsidRPr="00674E20">
        <w:rPr>
          <w:b/>
          <w:bCs/>
        </w:rPr>
        <w:t>143</w:t>
      </w:r>
      <w:r w:rsidRPr="00674E20">
        <w:t xml:space="preserve">, 1122–1141, </w:t>
      </w:r>
      <w:hyperlink r:id="rId13" w:history="1">
        <w:r w:rsidRPr="00F33FC7">
          <w:rPr>
            <w:rStyle w:val="Hyperlink"/>
          </w:rPr>
          <w:t>https://doi.org/10.1175/MWR-D-14-00270.1</w:t>
        </w:r>
      </w:hyperlink>
      <w:r w:rsidRPr="00674E20">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4" w:history="1">
        <w:r w:rsidRPr="00CA293B">
          <w:rPr>
            <w:rStyle w:val="Hyperlink"/>
          </w:rPr>
          <w:t>https://doi.org/10.1002/qj.4569</w:t>
        </w:r>
      </w:hyperlink>
      <w:r>
        <w:t>.</w:t>
      </w:r>
    </w:p>
    <w:p w14:paraId="35675886" w14:textId="77777777" w:rsidR="00C0034C" w:rsidRDefault="00C0034C" w:rsidP="00C0034C">
      <w:pPr>
        <w:ind w:left="360" w:hanging="360"/>
      </w:pPr>
      <w:r w:rsidRPr="00D77BEB">
        <w:t>Biernat, K. A.,</w:t>
      </w:r>
      <w:r>
        <w:t xml:space="preserve"> D. Keyser, and L. F. Bosart,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5"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6" w:history="1">
        <w:r w:rsidRPr="00C07A48">
          <w:rPr>
            <w:rStyle w:val="Hyperlink"/>
          </w:rPr>
          <w:t>https://doi.org/10.1175/2010BAMS2853.1</w:t>
        </w:r>
      </w:hyperlink>
      <w:r w:rsidRPr="00C07A48">
        <w:t>.</w:t>
      </w:r>
    </w:p>
    <w:p w14:paraId="63A94DE5" w14:textId="7A16D6B6" w:rsidR="00C0034C" w:rsidRDefault="00163F86" w:rsidP="00C0034C">
      <w:pPr>
        <w:ind w:left="360" w:hanging="360"/>
      </w:pPr>
      <w:r w:rsidRPr="00163F86">
        <w:t xml:space="preserve">Brodzik, M. J., B. Billingsley, T. Haran, B. Raup, and M. H. Savoie,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7" w:history="1">
        <w:r w:rsidRPr="00747EF0">
          <w:rPr>
            <w:rStyle w:val="Hyperlink"/>
          </w:rPr>
          <w:t>https://doi.org/10.3390/ijgi1010032</w:t>
        </w:r>
      </w:hyperlink>
      <w:r w:rsidRPr="00163F86">
        <w:t>.</w:t>
      </w:r>
    </w:p>
    <w:p w14:paraId="75E01C26" w14:textId="5FF4609A" w:rsidR="00527D6B" w:rsidRDefault="00527D6B" w:rsidP="00EA4B43">
      <w:pPr>
        <w:ind w:left="360" w:hanging="360"/>
      </w:pPr>
      <w:r>
        <w:t xml:space="preserve">Capute, P. K., and R. D. Torn, 2021: A comparison of Arctic and Atlantic cyclone predictability. </w:t>
      </w:r>
      <w:r w:rsidRPr="007C5835">
        <w:rPr>
          <w:i/>
        </w:rPr>
        <w:t>Mon. Wea. Rev.</w:t>
      </w:r>
      <w:r>
        <w:t xml:space="preserve">, </w:t>
      </w:r>
      <w:r w:rsidRPr="007C5835">
        <w:rPr>
          <w:b/>
        </w:rPr>
        <w:t>149</w:t>
      </w:r>
      <w:r>
        <w:t xml:space="preserve">, 3837–3849, </w:t>
      </w:r>
      <w:hyperlink r:id="rId18" w:history="1">
        <w:r w:rsidR="00EA4B43" w:rsidRPr="00926B03">
          <w:rPr>
            <w:rStyle w:val="Hyperlink"/>
          </w:rPr>
          <w:t>https://doi.org/10.1175/MWR-D-20-0350.1</w:t>
        </w:r>
      </w:hyperlink>
      <w:r>
        <w:t>.</w:t>
      </w:r>
    </w:p>
    <w:p w14:paraId="0737C017" w14:textId="692B33E8"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HarperCollins</w:t>
      </w:r>
      <w:r w:rsidR="00BE354C">
        <w:t xml:space="preserve"> </w:t>
      </w:r>
      <w:r w:rsidR="00002BA1" w:rsidRPr="00BE354C">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9"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lastRenderedPageBreak/>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20"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r w:rsidRPr="001733F0">
        <w:t>Bitz,</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the drivers of asymmetric patterns in the 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1"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2"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3" w:history="1">
        <w:r w:rsidR="00EA4B43" w:rsidRPr="00926B03">
          <w:rPr>
            <w:rStyle w:val="Hyperlink"/>
          </w:rPr>
          <w:t>https://doi.org/10.1175/MWR-D-20-0417.1</w:t>
        </w:r>
      </w:hyperlink>
      <w:r>
        <w:t>.</w:t>
      </w:r>
    </w:p>
    <w:p w14:paraId="7F90B486" w14:textId="324787CC" w:rsidR="009A6EE8" w:rsidRDefault="009A6EE8" w:rsidP="009A6EE8">
      <w:pPr>
        <w:ind w:left="360" w:hanging="360"/>
      </w:pPr>
      <w:r>
        <w:t xml:space="preserve">Croad,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4"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5"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xml:space="preserve">, V. M., J. Fernández-Gracia, X. Irigoien,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6"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7"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Wea. Climate Dyn.</w:t>
      </w:r>
      <w:r w:rsidRPr="006F35E4">
        <w:t xml:space="preserve">, </w:t>
      </w:r>
      <w:r w:rsidRPr="006F35E4">
        <w:rPr>
          <w:b/>
          <w:bCs/>
        </w:rPr>
        <w:t>2</w:t>
      </w:r>
      <w:r w:rsidRPr="006F35E4">
        <w:t>, 1303–1324,</w:t>
      </w:r>
      <w:r>
        <w:t xml:space="preserve"> </w:t>
      </w:r>
      <w:hyperlink r:id="rId28" w:history="1">
        <w:r w:rsidRPr="00F33FC7">
          <w:rPr>
            <w:rStyle w:val="Hyperlink"/>
          </w:rPr>
          <w:t>https://doi.org/10.5194/wcd-2-1303-2021</w:t>
        </w:r>
      </w:hyperlink>
      <w:r w:rsidRPr="006F35E4">
        <w:t>.</w:t>
      </w:r>
    </w:p>
    <w:p w14:paraId="1C0EC30B" w14:textId="0BA4A0FB" w:rsidR="008C561F" w:rsidRDefault="00527D6B" w:rsidP="00EA4B43">
      <w:pPr>
        <w:ind w:left="360" w:hanging="360"/>
      </w:pPr>
      <w:r>
        <w:lastRenderedPageBreak/>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9"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and W. Lapenta,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30"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1"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3"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4" w:history="1">
        <w:r w:rsidR="00EA4B43" w:rsidRPr="00926B03">
          <w:rPr>
            <w:rStyle w:val="Hyperlink"/>
            <w:shd w:val="clear" w:color="auto" w:fill="FFFFFF"/>
          </w:rPr>
          <w:t>https://doi.org/10.1175/MWR-D-20-0285.1</w:t>
        </w:r>
      </w:hyperlink>
      <w:r w:rsidRPr="00F34A55">
        <w:rPr>
          <w:shd w:val="clear" w:color="auto" w:fill="FFFFFF"/>
        </w:rPr>
        <w:t>.</w:t>
      </w:r>
    </w:p>
    <w:p w14:paraId="012C870A" w14:textId="67CF540D" w:rsidR="00674E20" w:rsidRDefault="00674E20" w:rsidP="00674E20">
      <w:pPr>
        <w:ind w:left="360" w:hanging="360"/>
        <w:rPr>
          <w:shd w:val="clear" w:color="auto" w:fill="FFFFFF"/>
        </w:rPr>
      </w:pPr>
      <w:r w:rsidRPr="00674E20">
        <w:rPr>
          <w:shd w:val="clear" w:color="auto" w:fill="FFFFFF"/>
        </w:rPr>
        <w:t>Keller, J. H.,</w:t>
      </w:r>
      <w:r>
        <w:rPr>
          <w:shd w:val="clear" w:color="auto" w:fill="FFFFFF"/>
        </w:rPr>
        <w:t xml:space="preserve"> </w:t>
      </w:r>
      <w:r w:rsidRPr="00674E20">
        <w:rPr>
          <w:shd w:val="clear" w:color="auto" w:fill="FFFFFF"/>
        </w:rPr>
        <w:t>and Coauthors, 2019: The extratropical transition of tropical</w:t>
      </w:r>
      <w:r>
        <w:rPr>
          <w:shd w:val="clear" w:color="auto" w:fill="FFFFFF"/>
        </w:rPr>
        <w:t xml:space="preserve"> </w:t>
      </w:r>
      <w:r w:rsidRPr="00674E20">
        <w:rPr>
          <w:shd w:val="clear" w:color="auto" w:fill="FFFFFF"/>
        </w:rPr>
        <w:t>cyclones. Part II: Interaction with the midlatitude flow,</w:t>
      </w:r>
      <w:r>
        <w:rPr>
          <w:shd w:val="clear" w:color="auto" w:fill="FFFFFF"/>
        </w:rPr>
        <w:t xml:space="preserve"> </w:t>
      </w:r>
      <w:r w:rsidRPr="00674E20">
        <w:rPr>
          <w:shd w:val="clear" w:color="auto" w:fill="FFFFFF"/>
        </w:rPr>
        <w:t xml:space="preserve">downstream impacts, and implications for predictability. </w:t>
      </w:r>
      <w:r w:rsidRPr="00674E20">
        <w:rPr>
          <w:i/>
          <w:iCs/>
          <w:shd w:val="clear" w:color="auto" w:fill="FFFFFF"/>
        </w:rPr>
        <w:t>Mon. Wea. Rev.</w:t>
      </w:r>
      <w:r w:rsidRPr="00674E20">
        <w:rPr>
          <w:shd w:val="clear" w:color="auto" w:fill="FFFFFF"/>
        </w:rPr>
        <w:t xml:space="preserve">, </w:t>
      </w:r>
      <w:r w:rsidRPr="00674E20">
        <w:rPr>
          <w:b/>
          <w:bCs/>
          <w:shd w:val="clear" w:color="auto" w:fill="FFFFFF"/>
        </w:rPr>
        <w:t>147</w:t>
      </w:r>
      <w:r w:rsidRPr="00674E20">
        <w:rPr>
          <w:shd w:val="clear" w:color="auto" w:fill="FFFFFF"/>
        </w:rPr>
        <w:t xml:space="preserve">, 1077–1106, </w:t>
      </w:r>
      <w:hyperlink r:id="rId35" w:history="1">
        <w:r w:rsidRPr="00F33FC7">
          <w:rPr>
            <w:rStyle w:val="Hyperlink"/>
            <w:shd w:val="clear" w:color="auto" w:fill="FFFFFF"/>
          </w:rPr>
          <w:t>https://doi.org/10.1175/MWR-D-17-0329.1</w:t>
        </w:r>
      </w:hyperlink>
    </w:p>
    <w:p w14:paraId="41AA0B81" w14:textId="02596053" w:rsidR="00F945B6" w:rsidRDefault="00F945B6" w:rsidP="00F945B6">
      <w:pPr>
        <w:ind w:left="360" w:hanging="360"/>
        <w:rPr>
          <w:shd w:val="clear" w:color="auto" w:fill="FFFFFF"/>
        </w:rPr>
      </w:pPr>
      <w:r w:rsidRPr="00F945B6">
        <w:rPr>
          <w:shd w:val="clear" w:color="auto" w:fill="FFFFFF"/>
        </w:rPr>
        <w:t xml:space="preserve">Kuo,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6"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Lamberson, W. S., R. D. Torn, L. F. Bosart,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7"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8"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lastRenderedPageBreak/>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9"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40"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1"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2"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3"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4"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5"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6"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7"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8" w:history="1">
        <w:r w:rsidR="000A159F" w:rsidRPr="00926B03">
          <w:rPr>
            <w:rStyle w:val="Hyperlink"/>
          </w:rPr>
          <w:t>https://doi.org/10.1002/2014GL059983</w:t>
        </w:r>
      </w:hyperlink>
      <w:r>
        <w:t>.</w:t>
      </w:r>
    </w:p>
    <w:p w14:paraId="182CA227" w14:textId="0DD6D577" w:rsidR="00711284" w:rsidRDefault="008A32A9" w:rsidP="00711284">
      <w:pPr>
        <w:ind w:left="360" w:hanging="360"/>
      </w:pPr>
      <w:r w:rsidRPr="008A32A9">
        <w:t xml:space="preserve">Thorncroft, C. D., B. J. Hoskins, and M. E. </w:t>
      </w:r>
      <w:proofErr w:type="spellStart"/>
      <w:r w:rsidRPr="008A32A9">
        <w:t>Mcintyre</w:t>
      </w:r>
      <w:proofErr w:type="spellEnd"/>
      <w:r w:rsidRPr="008A32A9">
        <w:t>, 1993: Two</w:t>
      </w:r>
      <w:r>
        <w:t xml:space="preserve"> </w:t>
      </w:r>
      <w:r w:rsidRPr="008A32A9">
        <w:t xml:space="preserve">paradigms of baroclinic-wave life-cycle </w:t>
      </w:r>
      <w:proofErr w:type="spellStart"/>
      <w:r w:rsidRPr="008A32A9">
        <w:t>behaviour</w:t>
      </w:r>
      <w:proofErr w:type="spellEnd"/>
      <w:r w:rsidRPr="008A32A9">
        <w:t xml:space="preserve">. </w:t>
      </w:r>
      <w:r w:rsidRPr="00FB446D">
        <w:rPr>
          <w:i/>
          <w:iCs/>
        </w:rPr>
        <w:t>Quart. J. Roy. Meteor. Soc.</w:t>
      </w:r>
      <w:r w:rsidRPr="008A32A9">
        <w:t xml:space="preserve">, </w:t>
      </w:r>
      <w:r w:rsidRPr="00FB446D">
        <w:rPr>
          <w:b/>
          <w:bCs/>
        </w:rPr>
        <w:t>119</w:t>
      </w:r>
      <w:r w:rsidRPr="008A32A9">
        <w:t>, 17–55,</w:t>
      </w:r>
      <w:r>
        <w:t xml:space="preserve"> </w:t>
      </w:r>
      <w:hyperlink r:id="rId49" w:history="1">
        <w:r w:rsidR="00711284" w:rsidRPr="00F33FC7">
          <w:rPr>
            <w:rStyle w:val="Hyperlink"/>
          </w:rPr>
          <w:t>https://doi.org/10.1002/qj.49711950903</w:t>
        </w:r>
      </w:hyperlink>
      <w:r w:rsidRPr="008A32A9">
        <w:t>.</w:t>
      </w:r>
    </w:p>
    <w:p w14:paraId="3BB83AAF" w14:textId="019939DB" w:rsidR="00C0034C" w:rsidRDefault="00C0034C" w:rsidP="00C0034C">
      <w:pPr>
        <w:ind w:left="360" w:hanging="360"/>
      </w:pPr>
      <w:r w:rsidRPr="00C0034C">
        <w:lastRenderedPageBreak/>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50"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51"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2" w:history="1">
        <w:r w:rsidRPr="0024331A">
          <w:rPr>
            <w:rStyle w:val="Hyperlink"/>
          </w:rPr>
          <w:t>https://doi.org/10.1175/MWR-D-15-0085.1</w:t>
        </w:r>
      </w:hyperlink>
      <w:r w:rsidRPr="0024331A">
        <w:t>.</w:t>
      </w:r>
    </w:p>
    <w:p w14:paraId="241D4F22" w14:textId="1E029802" w:rsidR="00961CF7" w:rsidRDefault="00961CF7" w:rsidP="00961CF7">
      <w:pPr>
        <w:ind w:left="360" w:hanging="360"/>
      </w:pPr>
      <w:r w:rsidRPr="00961CF7">
        <w:t xml:space="preserve">Uccellini,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3"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r>
        <w:t xml:space="preserve">Vessey,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Clim.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4"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5"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Matsueda,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6"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Dethloff, M. </w:t>
      </w:r>
      <w:proofErr w:type="spellStart"/>
      <w:r w:rsidRPr="00F34A55">
        <w:rPr>
          <w:color w:val="000000" w:themeColor="text1"/>
        </w:rPr>
        <w:t>Maturilli</w:t>
      </w:r>
      <w:proofErr w:type="spellEnd"/>
      <w:r w:rsidRPr="00F34A55">
        <w:rPr>
          <w:color w:val="000000" w:themeColor="text1"/>
        </w:rPr>
        <w:t xml:space="preserve">, and G. König-Langlo,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7"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Rauber,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8"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Rotunno, 2003: Effects of moist convection on mesoscale predictability. </w:t>
      </w:r>
      <w:r w:rsidRPr="000218AC">
        <w:rPr>
          <w:i/>
        </w:rPr>
        <w:t>J. Atmos. Sci.</w:t>
      </w:r>
      <w:r>
        <w:t xml:space="preserve">, </w:t>
      </w:r>
      <w:r w:rsidRPr="000218AC">
        <w:rPr>
          <w:b/>
        </w:rPr>
        <w:t>60</w:t>
      </w:r>
      <w:r>
        <w:t xml:space="preserve">, 1173–1185, </w:t>
      </w:r>
      <w:hyperlink r:id="rId59"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lastRenderedPageBreak/>
        <w:t xml:space="preserve">Zhang, F., N. Bei, R. Rotunno,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60"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61"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2"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3"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4"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5"/>
      <w:footerReference w:type="even" r:id="rId66"/>
      <w:footerReference w:type="default" r:id="rId67"/>
      <w:headerReference w:type="first" r:id="rId68"/>
      <w:footerReference w:type="first" r:id="rId69"/>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5D0D7D" w14:textId="77777777" w:rsidR="00AD7CDD" w:rsidRDefault="00AD7CDD" w:rsidP="00BE02FD">
      <w:r>
        <w:separator/>
      </w:r>
    </w:p>
    <w:p w14:paraId="3DDB6A7F" w14:textId="77777777" w:rsidR="00AD7CDD" w:rsidRDefault="00AD7CDD" w:rsidP="00BE02FD"/>
    <w:p w14:paraId="25916E2B" w14:textId="77777777" w:rsidR="00AD7CDD" w:rsidRDefault="00AD7CDD"/>
  </w:endnote>
  <w:endnote w:type="continuationSeparator" w:id="0">
    <w:p w14:paraId="3AB9DF4B" w14:textId="77777777" w:rsidR="00AD7CDD" w:rsidRDefault="00AD7CDD" w:rsidP="00BE02FD">
      <w:r>
        <w:continuationSeparator/>
      </w:r>
    </w:p>
    <w:p w14:paraId="07B81B10" w14:textId="77777777" w:rsidR="00AD7CDD" w:rsidRDefault="00AD7CDD" w:rsidP="00BE02FD"/>
    <w:p w14:paraId="3CF2EDFC" w14:textId="77777777" w:rsidR="00AD7CDD" w:rsidRDefault="00AD7C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666E37" w:rsidRPr="00AB5C37" w:rsidRDefault="00666E37" w:rsidP="00F12980">
        <w:pPr>
          <w:pStyle w:val="Footer"/>
          <w:jc w:val="right"/>
        </w:pPr>
        <w:r w:rsidRPr="00AB5C37">
          <w:fldChar w:fldCharType="begin"/>
        </w:r>
        <w:r w:rsidRPr="00AB5C37">
          <w:instrText xml:space="preserve"> PAGE   \* MERGEFORMAT </w:instrText>
        </w:r>
        <w:r w:rsidRPr="00AB5C37">
          <w:fldChar w:fldCharType="separate"/>
        </w:r>
        <w:r>
          <w:rPr>
            <w:noProof/>
          </w:rPr>
          <w:t>1</w:t>
        </w:r>
        <w:r w:rsidRPr="00AB5C37">
          <w:rPr>
            <w:noProof/>
          </w:rPr>
          <w:fldChar w:fldCharType="end"/>
        </w:r>
      </w:p>
    </w:sdtContent>
  </w:sdt>
  <w:p w14:paraId="31747F60" w14:textId="61273928" w:rsidR="00666E37" w:rsidRPr="004E1E6F" w:rsidRDefault="00666E37"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6754E2" w14:textId="77777777" w:rsidR="00AD7CDD" w:rsidRDefault="00AD7CDD" w:rsidP="00BE02FD">
      <w:r>
        <w:separator/>
      </w:r>
    </w:p>
    <w:p w14:paraId="47305138" w14:textId="77777777" w:rsidR="00AD7CDD" w:rsidRDefault="00AD7CDD" w:rsidP="00BE02FD"/>
    <w:p w14:paraId="23A8B992" w14:textId="77777777" w:rsidR="00AD7CDD" w:rsidRDefault="00AD7CDD"/>
  </w:footnote>
  <w:footnote w:type="continuationSeparator" w:id="0">
    <w:p w14:paraId="338512C9" w14:textId="77777777" w:rsidR="00AD7CDD" w:rsidRDefault="00AD7CDD" w:rsidP="00BE02FD">
      <w:r>
        <w:continuationSeparator/>
      </w:r>
    </w:p>
    <w:p w14:paraId="132E7274" w14:textId="77777777" w:rsidR="00AD7CDD" w:rsidRDefault="00AD7CDD" w:rsidP="00BE02FD"/>
    <w:p w14:paraId="77E97FEA" w14:textId="77777777" w:rsidR="00AD7CDD" w:rsidRDefault="00AD7C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666E37" w:rsidRPr="004E1E6F" w:rsidRDefault="00666E37" w:rsidP="00BE02FD">
    <w:r w:rsidRPr="004E1E6F">
      <w:t xml:space="preserve"> Job#: 0; Volume: 00; Issue: 0; Art#: D190061; Prod#</w:t>
    </w:r>
    <w:proofErr w:type="gramStart"/>
    <w:r w:rsidRPr="004E1E6F">
      <w:t>: ;</w:t>
    </w:r>
    <w:proofErr w:type="gramEnd"/>
  </w:p>
  <w:p w14:paraId="37D8CF6B"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666E37" w:rsidRPr="004E1E6F" w:rsidRDefault="00666E37" w:rsidP="00BE02FD">
    <w:r w:rsidRPr="004E1E6F">
      <w:t xml:space="preserve"> Job#: 0; Volume: 00; Issue: 0; Art#: D190061; Prod#</w:t>
    </w:r>
    <w:proofErr w:type="gramStart"/>
    <w:r w:rsidRPr="004E1E6F">
      <w:t>: ;</w:t>
    </w:r>
    <w:proofErr w:type="gramEnd"/>
  </w:p>
  <w:p w14:paraId="623AD69F"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10272211">
    <w:abstractNumId w:val="19"/>
  </w:num>
  <w:num w:numId="2" w16cid:durableId="2095127690">
    <w:abstractNumId w:val="13"/>
  </w:num>
  <w:num w:numId="3" w16cid:durableId="1530535007">
    <w:abstractNumId w:val="10"/>
  </w:num>
  <w:num w:numId="4" w16cid:durableId="741635084">
    <w:abstractNumId w:val="16"/>
  </w:num>
  <w:num w:numId="5" w16cid:durableId="1324772246">
    <w:abstractNumId w:val="20"/>
  </w:num>
  <w:num w:numId="6" w16cid:durableId="955332326">
    <w:abstractNumId w:val="12"/>
  </w:num>
  <w:num w:numId="7" w16cid:durableId="525949835">
    <w:abstractNumId w:val="14"/>
  </w:num>
  <w:num w:numId="8" w16cid:durableId="665211075">
    <w:abstractNumId w:val="17"/>
  </w:num>
  <w:num w:numId="9" w16cid:durableId="612326425">
    <w:abstractNumId w:val="11"/>
  </w:num>
  <w:num w:numId="10" w16cid:durableId="1818180409">
    <w:abstractNumId w:val="9"/>
  </w:num>
  <w:num w:numId="11" w16cid:durableId="1077091225">
    <w:abstractNumId w:val="7"/>
  </w:num>
  <w:num w:numId="12" w16cid:durableId="614170287">
    <w:abstractNumId w:val="6"/>
  </w:num>
  <w:num w:numId="13" w16cid:durableId="161704805">
    <w:abstractNumId w:val="5"/>
  </w:num>
  <w:num w:numId="14" w16cid:durableId="1218978182">
    <w:abstractNumId w:val="4"/>
  </w:num>
  <w:num w:numId="15" w16cid:durableId="868689840">
    <w:abstractNumId w:val="8"/>
  </w:num>
  <w:num w:numId="16" w16cid:durableId="367335379">
    <w:abstractNumId w:val="3"/>
  </w:num>
  <w:num w:numId="17" w16cid:durableId="11153518">
    <w:abstractNumId w:val="2"/>
  </w:num>
  <w:num w:numId="18" w16cid:durableId="283970523">
    <w:abstractNumId w:val="1"/>
  </w:num>
  <w:num w:numId="19" w16cid:durableId="2140565902">
    <w:abstractNumId w:val="0"/>
  </w:num>
  <w:num w:numId="20" w16cid:durableId="1971397964">
    <w:abstractNumId w:val="15"/>
  </w:num>
  <w:num w:numId="21" w16cid:durableId="16683587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BA1"/>
    <w:rsid w:val="0000390D"/>
    <w:rsid w:val="00003A71"/>
    <w:rsid w:val="00003CE1"/>
    <w:rsid w:val="0000628E"/>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145A"/>
    <w:rsid w:val="00042284"/>
    <w:rsid w:val="00043113"/>
    <w:rsid w:val="00043411"/>
    <w:rsid w:val="00043673"/>
    <w:rsid w:val="000442E9"/>
    <w:rsid w:val="00044F02"/>
    <w:rsid w:val="0004613E"/>
    <w:rsid w:val="00046950"/>
    <w:rsid w:val="00047433"/>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659"/>
    <w:rsid w:val="000657F8"/>
    <w:rsid w:val="000657FC"/>
    <w:rsid w:val="00066B74"/>
    <w:rsid w:val="00066BA5"/>
    <w:rsid w:val="00067348"/>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3D1"/>
    <w:rsid w:val="00085505"/>
    <w:rsid w:val="0008599B"/>
    <w:rsid w:val="000860D8"/>
    <w:rsid w:val="0008767B"/>
    <w:rsid w:val="0009025E"/>
    <w:rsid w:val="00090747"/>
    <w:rsid w:val="00094EF8"/>
    <w:rsid w:val="00096CF8"/>
    <w:rsid w:val="000974CD"/>
    <w:rsid w:val="00097AD0"/>
    <w:rsid w:val="000A013D"/>
    <w:rsid w:val="000A127F"/>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9DB"/>
    <w:rsid w:val="000D2D3B"/>
    <w:rsid w:val="000D345D"/>
    <w:rsid w:val="000D3AE4"/>
    <w:rsid w:val="000D4613"/>
    <w:rsid w:val="000D631F"/>
    <w:rsid w:val="000D6331"/>
    <w:rsid w:val="000D6820"/>
    <w:rsid w:val="000D6FE3"/>
    <w:rsid w:val="000D73D0"/>
    <w:rsid w:val="000D777D"/>
    <w:rsid w:val="000E012F"/>
    <w:rsid w:val="000E01FB"/>
    <w:rsid w:val="000E02D6"/>
    <w:rsid w:val="000E07EB"/>
    <w:rsid w:val="000E092C"/>
    <w:rsid w:val="000E14AB"/>
    <w:rsid w:val="000E1556"/>
    <w:rsid w:val="000E1593"/>
    <w:rsid w:val="000E1E66"/>
    <w:rsid w:val="000E226F"/>
    <w:rsid w:val="000E252C"/>
    <w:rsid w:val="000E2B3C"/>
    <w:rsid w:val="000E4744"/>
    <w:rsid w:val="000E4BA7"/>
    <w:rsid w:val="000E5149"/>
    <w:rsid w:val="000E74AA"/>
    <w:rsid w:val="000E777C"/>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727A"/>
    <w:rsid w:val="00110F18"/>
    <w:rsid w:val="001116C2"/>
    <w:rsid w:val="0011292C"/>
    <w:rsid w:val="001133E5"/>
    <w:rsid w:val="00114EA8"/>
    <w:rsid w:val="001171DF"/>
    <w:rsid w:val="001179DD"/>
    <w:rsid w:val="00117EA5"/>
    <w:rsid w:val="00120872"/>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603"/>
    <w:rsid w:val="00161D03"/>
    <w:rsid w:val="00162B3A"/>
    <w:rsid w:val="00163F86"/>
    <w:rsid w:val="0016436E"/>
    <w:rsid w:val="001648F8"/>
    <w:rsid w:val="00165099"/>
    <w:rsid w:val="001652CE"/>
    <w:rsid w:val="0016557E"/>
    <w:rsid w:val="001655E2"/>
    <w:rsid w:val="001660BC"/>
    <w:rsid w:val="001677BC"/>
    <w:rsid w:val="00167C8A"/>
    <w:rsid w:val="00170A72"/>
    <w:rsid w:val="0017179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5E"/>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B9A"/>
    <w:rsid w:val="001A6BF3"/>
    <w:rsid w:val="001A70FA"/>
    <w:rsid w:val="001A743A"/>
    <w:rsid w:val="001B06FB"/>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2B16"/>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7B3"/>
    <w:rsid w:val="00217E61"/>
    <w:rsid w:val="00220BA5"/>
    <w:rsid w:val="00221561"/>
    <w:rsid w:val="002215F7"/>
    <w:rsid w:val="00221B40"/>
    <w:rsid w:val="00224148"/>
    <w:rsid w:val="002241E0"/>
    <w:rsid w:val="00224903"/>
    <w:rsid w:val="00224FA0"/>
    <w:rsid w:val="00225059"/>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365D9"/>
    <w:rsid w:val="002407B1"/>
    <w:rsid w:val="00240CB0"/>
    <w:rsid w:val="002423B2"/>
    <w:rsid w:val="0024250C"/>
    <w:rsid w:val="00242EA3"/>
    <w:rsid w:val="0024331A"/>
    <w:rsid w:val="00243445"/>
    <w:rsid w:val="00243CB8"/>
    <w:rsid w:val="00244044"/>
    <w:rsid w:val="0024445D"/>
    <w:rsid w:val="00244F96"/>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AD9"/>
    <w:rsid w:val="00275E41"/>
    <w:rsid w:val="002760A8"/>
    <w:rsid w:val="00281038"/>
    <w:rsid w:val="00282937"/>
    <w:rsid w:val="00282B7D"/>
    <w:rsid w:val="002834DA"/>
    <w:rsid w:val="0028407A"/>
    <w:rsid w:val="00284681"/>
    <w:rsid w:val="0028572F"/>
    <w:rsid w:val="00285971"/>
    <w:rsid w:val="00285E77"/>
    <w:rsid w:val="002864F7"/>
    <w:rsid w:val="00287472"/>
    <w:rsid w:val="00287C0D"/>
    <w:rsid w:val="00291478"/>
    <w:rsid w:val="00291D43"/>
    <w:rsid w:val="00291E67"/>
    <w:rsid w:val="00292131"/>
    <w:rsid w:val="002925AC"/>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5F5D"/>
    <w:rsid w:val="002B7A75"/>
    <w:rsid w:val="002C0406"/>
    <w:rsid w:val="002C0AC1"/>
    <w:rsid w:val="002C2C7C"/>
    <w:rsid w:val="002C42D0"/>
    <w:rsid w:val="002C56BA"/>
    <w:rsid w:val="002C68F6"/>
    <w:rsid w:val="002C6E11"/>
    <w:rsid w:val="002C70F3"/>
    <w:rsid w:val="002C7971"/>
    <w:rsid w:val="002D0710"/>
    <w:rsid w:val="002D088B"/>
    <w:rsid w:val="002D1E33"/>
    <w:rsid w:val="002D24D3"/>
    <w:rsid w:val="002D2D61"/>
    <w:rsid w:val="002D2FDE"/>
    <w:rsid w:val="002D31E9"/>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1F91"/>
    <w:rsid w:val="002F3250"/>
    <w:rsid w:val="002F5EEC"/>
    <w:rsid w:val="002F6602"/>
    <w:rsid w:val="002F6993"/>
    <w:rsid w:val="002F7D77"/>
    <w:rsid w:val="002F7DB1"/>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33"/>
    <w:rsid w:val="003333E4"/>
    <w:rsid w:val="003336D0"/>
    <w:rsid w:val="00334718"/>
    <w:rsid w:val="003350FF"/>
    <w:rsid w:val="003405A0"/>
    <w:rsid w:val="00341062"/>
    <w:rsid w:val="0034141F"/>
    <w:rsid w:val="00341AE4"/>
    <w:rsid w:val="0034325A"/>
    <w:rsid w:val="003439D0"/>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1174"/>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6D8"/>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6A46"/>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B49"/>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0997"/>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41E9"/>
    <w:rsid w:val="00465C80"/>
    <w:rsid w:val="00465F3B"/>
    <w:rsid w:val="0046709E"/>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488"/>
    <w:rsid w:val="004C6A78"/>
    <w:rsid w:val="004C6BDB"/>
    <w:rsid w:val="004C6E3C"/>
    <w:rsid w:val="004C7BA2"/>
    <w:rsid w:val="004D094B"/>
    <w:rsid w:val="004D0A2E"/>
    <w:rsid w:val="004D1B3D"/>
    <w:rsid w:val="004D2663"/>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24B"/>
    <w:rsid w:val="00506205"/>
    <w:rsid w:val="00506AA3"/>
    <w:rsid w:val="00506C76"/>
    <w:rsid w:val="00507616"/>
    <w:rsid w:val="0050765A"/>
    <w:rsid w:val="00507A36"/>
    <w:rsid w:val="00507EA4"/>
    <w:rsid w:val="0051010E"/>
    <w:rsid w:val="00512746"/>
    <w:rsid w:val="00512DA9"/>
    <w:rsid w:val="00513A2E"/>
    <w:rsid w:val="00513A3C"/>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6038"/>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407"/>
    <w:rsid w:val="00597D26"/>
    <w:rsid w:val="005A0582"/>
    <w:rsid w:val="005A104A"/>
    <w:rsid w:val="005A1963"/>
    <w:rsid w:val="005A196C"/>
    <w:rsid w:val="005A2B48"/>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386"/>
    <w:rsid w:val="005F562C"/>
    <w:rsid w:val="005F609D"/>
    <w:rsid w:val="005F6515"/>
    <w:rsid w:val="005F6EB0"/>
    <w:rsid w:val="005F6F86"/>
    <w:rsid w:val="005F7386"/>
    <w:rsid w:val="005F7E56"/>
    <w:rsid w:val="0060047D"/>
    <w:rsid w:val="00600914"/>
    <w:rsid w:val="00600D49"/>
    <w:rsid w:val="00601322"/>
    <w:rsid w:val="006026F3"/>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6F7D"/>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39F0"/>
    <w:rsid w:val="00664E6F"/>
    <w:rsid w:val="0066530B"/>
    <w:rsid w:val="00665442"/>
    <w:rsid w:val="00665798"/>
    <w:rsid w:val="006659EB"/>
    <w:rsid w:val="006664C0"/>
    <w:rsid w:val="00666E37"/>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521B"/>
    <w:rsid w:val="006874D2"/>
    <w:rsid w:val="0068756A"/>
    <w:rsid w:val="006876C3"/>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3A6F"/>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5D"/>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57E65"/>
    <w:rsid w:val="007620E0"/>
    <w:rsid w:val="00762711"/>
    <w:rsid w:val="007630DA"/>
    <w:rsid w:val="0076348B"/>
    <w:rsid w:val="00763BD1"/>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7F9"/>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6918"/>
    <w:rsid w:val="007A706D"/>
    <w:rsid w:val="007A7388"/>
    <w:rsid w:val="007A75B6"/>
    <w:rsid w:val="007A75F1"/>
    <w:rsid w:val="007A7D18"/>
    <w:rsid w:val="007B106F"/>
    <w:rsid w:val="007B234E"/>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271E"/>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BDB"/>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78B"/>
    <w:rsid w:val="008479C6"/>
    <w:rsid w:val="00850C27"/>
    <w:rsid w:val="00850EF3"/>
    <w:rsid w:val="0085148D"/>
    <w:rsid w:val="00851A9D"/>
    <w:rsid w:val="008536B1"/>
    <w:rsid w:val="00853F46"/>
    <w:rsid w:val="0085458F"/>
    <w:rsid w:val="008562DF"/>
    <w:rsid w:val="008575F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60B"/>
    <w:rsid w:val="0089070F"/>
    <w:rsid w:val="0089095B"/>
    <w:rsid w:val="00890D69"/>
    <w:rsid w:val="00891014"/>
    <w:rsid w:val="0089157E"/>
    <w:rsid w:val="008931A5"/>
    <w:rsid w:val="0089353E"/>
    <w:rsid w:val="00893B52"/>
    <w:rsid w:val="0089414A"/>
    <w:rsid w:val="00894B45"/>
    <w:rsid w:val="00894C65"/>
    <w:rsid w:val="00896A4D"/>
    <w:rsid w:val="0089760D"/>
    <w:rsid w:val="0089799E"/>
    <w:rsid w:val="008A07C9"/>
    <w:rsid w:val="008A0976"/>
    <w:rsid w:val="008A0BA1"/>
    <w:rsid w:val="008A2007"/>
    <w:rsid w:val="008A221B"/>
    <w:rsid w:val="008A2EDE"/>
    <w:rsid w:val="008A32A9"/>
    <w:rsid w:val="008A331A"/>
    <w:rsid w:val="008A3F4E"/>
    <w:rsid w:val="008A5BEE"/>
    <w:rsid w:val="008A674C"/>
    <w:rsid w:val="008A7D7E"/>
    <w:rsid w:val="008B1B77"/>
    <w:rsid w:val="008B3709"/>
    <w:rsid w:val="008B3BE3"/>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382"/>
    <w:rsid w:val="008D5CC3"/>
    <w:rsid w:val="008D7A81"/>
    <w:rsid w:val="008D7C18"/>
    <w:rsid w:val="008D7CE9"/>
    <w:rsid w:val="008D7F55"/>
    <w:rsid w:val="008E0886"/>
    <w:rsid w:val="008E1984"/>
    <w:rsid w:val="008E27F0"/>
    <w:rsid w:val="008E4198"/>
    <w:rsid w:val="008E4EB7"/>
    <w:rsid w:val="008E58E5"/>
    <w:rsid w:val="008E637C"/>
    <w:rsid w:val="008E63F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3A1E"/>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BE5"/>
    <w:rsid w:val="00951CCF"/>
    <w:rsid w:val="00952485"/>
    <w:rsid w:val="009524ED"/>
    <w:rsid w:val="00952C49"/>
    <w:rsid w:val="00952C94"/>
    <w:rsid w:val="00953733"/>
    <w:rsid w:val="0095373C"/>
    <w:rsid w:val="00953A51"/>
    <w:rsid w:val="00954474"/>
    <w:rsid w:val="009546F8"/>
    <w:rsid w:val="009573CB"/>
    <w:rsid w:val="00960109"/>
    <w:rsid w:val="00960B50"/>
    <w:rsid w:val="00961CF7"/>
    <w:rsid w:val="00961E42"/>
    <w:rsid w:val="00961FF6"/>
    <w:rsid w:val="00962316"/>
    <w:rsid w:val="00962EC0"/>
    <w:rsid w:val="00963D15"/>
    <w:rsid w:val="00964D01"/>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33AF"/>
    <w:rsid w:val="009D43EB"/>
    <w:rsid w:val="009D452B"/>
    <w:rsid w:val="009D4599"/>
    <w:rsid w:val="009D7DF0"/>
    <w:rsid w:val="009E0A64"/>
    <w:rsid w:val="009E11A7"/>
    <w:rsid w:val="009E240D"/>
    <w:rsid w:val="009E3D43"/>
    <w:rsid w:val="009E5CDA"/>
    <w:rsid w:val="009E7473"/>
    <w:rsid w:val="009E74A5"/>
    <w:rsid w:val="009F37B4"/>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85F"/>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1EB4"/>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6E46"/>
    <w:rsid w:val="00A379C0"/>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63E2"/>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76DFF"/>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995"/>
    <w:rsid w:val="00AD4D03"/>
    <w:rsid w:val="00AD65FF"/>
    <w:rsid w:val="00AD7CDD"/>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2AE1"/>
    <w:rsid w:val="00B13BEA"/>
    <w:rsid w:val="00B1470B"/>
    <w:rsid w:val="00B15B7C"/>
    <w:rsid w:val="00B15C59"/>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65D"/>
    <w:rsid w:val="00B417E8"/>
    <w:rsid w:val="00B419FC"/>
    <w:rsid w:val="00B42FD1"/>
    <w:rsid w:val="00B434ED"/>
    <w:rsid w:val="00B440D6"/>
    <w:rsid w:val="00B44423"/>
    <w:rsid w:val="00B44747"/>
    <w:rsid w:val="00B459C9"/>
    <w:rsid w:val="00B47FE4"/>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D0"/>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354C"/>
    <w:rsid w:val="00BE356A"/>
    <w:rsid w:val="00BE3EC9"/>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BBD"/>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47E78"/>
    <w:rsid w:val="00C51799"/>
    <w:rsid w:val="00C51B49"/>
    <w:rsid w:val="00C533C5"/>
    <w:rsid w:val="00C536B2"/>
    <w:rsid w:val="00C55ABF"/>
    <w:rsid w:val="00C572D3"/>
    <w:rsid w:val="00C57EAA"/>
    <w:rsid w:val="00C60125"/>
    <w:rsid w:val="00C608F0"/>
    <w:rsid w:val="00C60C31"/>
    <w:rsid w:val="00C60E16"/>
    <w:rsid w:val="00C62165"/>
    <w:rsid w:val="00C62A6D"/>
    <w:rsid w:val="00C630A1"/>
    <w:rsid w:val="00C638EE"/>
    <w:rsid w:val="00C63F62"/>
    <w:rsid w:val="00C652D0"/>
    <w:rsid w:val="00C66FCF"/>
    <w:rsid w:val="00C6758D"/>
    <w:rsid w:val="00C67AD1"/>
    <w:rsid w:val="00C67B56"/>
    <w:rsid w:val="00C70631"/>
    <w:rsid w:val="00C70823"/>
    <w:rsid w:val="00C70851"/>
    <w:rsid w:val="00C72D5F"/>
    <w:rsid w:val="00C74854"/>
    <w:rsid w:val="00C7487C"/>
    <w:rsid w:val="00C75B0D"/>
    <w:rsid w:val="00C76CB6"/>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6BE"/>
    <w:rsid w:val="00CA67A9"/>
    <w:rsid w:val="00CA68DA"/>
    <w:rsid w:val="00CA7B8D"/>
    <w:rsid w:val="00CB1206"/>
    <w:rsid w:val="00CB16F6"/>
    <w:rsid w:val="00CB205A"/>
    <w:rsid w:val="00CB32A3"/>
    <w:rsid w:val="00CB37AA"/>
    <w:rsid w:val="00CB3B15"/>
    <w:rsid w:val="00CB3F0E"/>
    <w:rsid w:val="00CB4623"/>
    <w:rsid w:val="00CB46C7"/>
    <w:rsid w:val="00CB5319"/>
    <w:rsid w:val="00CB57C9"/>
    <w:rsid w:val="00CB5A96"/>
    <w:rsid w:val="00CB668D"/>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E7E34"/>
    <w:rsid w:val="00CF0B00"/>
    <w:rsid w:val="00CF14CB"/>
    <w:rsid w:val="00CF15D5"/>
    <w:rsid w:val="00CF37DE"/>
    <w:rsid w:val="00CF5CFA"/>
    <w:rsid w:val="00CF6FEB"/>
    <w:rsid w:val="00CF7307"/>
    <w:rsid w:val="00CF79B4"/>
    <w:rsid w:val="00D01DC1"/>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DEC"/>
    <w:rsid w:val="00D12F75"/>
    <w:rsid w:val="00D13EF2"/>
    <w:rsid w:val="00D143C4"/>
    <w:rsid w:val="00D1530D"/>
    <w:rsid w:val="00D1747B"/>
    <w:rsid w:val="00D17F53"/>
    <w:rsid w:val="00D2045E"/>
    <w:rsid w:val="00D20F1D"/>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4E9D"/>
    <w:rsid w:val="00D4502C"/>
    <w:rsid w:val="00D45054"/>
    <w:rsid w:val="00D450F6"/>
    <w:rsid w:val="00D46AE4"/>
    <w:rsid w:val="00D477B1"/>
    <w:rsid w:val="00D47ACE"/>
    <w:rsid w:val="00D502B2"/>
    <w:rsid w:val="00D50DB4"/>
    <w:rsid w:val="00D52289"/>
    <w:rsid w:val="00D5258E"/>
    <w:rsid w:val="00D53153"/>
    <w:rsid w:val="00D53555"/>
    <w:rsid w:val="00D53E41"/>
    <w:rsid w:val="00D5406C"/>
    <w:rsid w:val="00D55117"/>
    <w:rsid w:val="00D5774F"/>
    <w:rsid w:val="00D604FD"/>
    <w:rsid w:val="00D6082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4F3C"/>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6A36"/>
    <w:rsid w:val="00DC6FEB"/>
    <w:rsid w:val="00DC7577"/>
    <w:rsid w:val="00DC767F"/>
    <w:rsid w:val="00DD0348"/>
    <w:rsid w:val="00DD0529"/>
    <w:rsid w:val="00DD06A7"/>
    <w:rsid w:val="00DD0CD1"/>
    <w:rsid w:val="00DD12CA"/>
    <w:rsid w:val="00DD234E"/>
    <w:rsid w:val="00DD293A"/>
    <w:rsid w:val="00DD42ED"/>
    <w:rsid w:val="00DD43C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54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1B7"/>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B6609"/>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277D"/>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0102"/>
    <w:rsid w:val="00F211AE"/>
    <w:rsid w:val="00F2171E"/>
    <w:rsid w:val="00F225AC"/>
    <w:rsid w:val="00F22B4A"/>
    <w:rsid w:val="00F2479D"/>
    <w:rsid w:val="00F268FC"/>
    <w:rsid w:val="00F26A17"/>
    <w:rsid w:val="00F26A8E"/>
    <w:rsid w:val="00F26C0C"/>
    <w:rsid w:val="00F270C9"/>
    <w:rsid w:val="00F3267B"/>
    <w:rsid w:val="00F329C7"/>
    <w:rsid w:val="00F32F9E"/>
    <w:rsid w:val="00F34046"/>
    <w:rsid w:val="00F34064"/>
    <w:rsid w:val="00F34B1D"/>
    <w:rsid w:val="00F352E2"/>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3A47"/>
    <w:rsid w:val="00F844ED"/>
    <w:rsid w:val="00F85296"/>
    <w:rsid w:val="00F859E6"/>
    <w:rsid w:val="00F85F7B"/>
    <w:rsid w:val="00F8614B"/>
    <w:rsid w:val="00F86625"/>
    <w:rsid w:val="00F867CE"/>
    <w:rsid w:val="00F874AE"/>
    <w:rsid w:val="00F902B4"/>
    <w:rsid w:val="00F90913"/>
    <w:rsid w:val="00F9196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5F36"/>
    <w:rsid w:val="00FB792F"/>
    <w:rsid w:val="00FC01EC"/>
    <w:rsid w:val="00FC1451"/>
    <w:rsid w:val="00FC34F0"/>
    <w:rsid w:val="00FC3754"/>
    <w:rsid w:val="00FC3981"/>
    <w:rsid w:val="00FC3DC8"/>
    <w:rsid w:val="00FC537F"/>
    <w:rsid w:val="00FC5E1F"/>
    <w:rsid w:val="00FC7843"/>
    <w:rsid w:val="00FD0348"/>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rep30682" TargetMode="External"/><Relationship Id="rId21" Type="http://schemas.openxmlformats.org/officeDocument/2006/relationships/hyperlink" Target="https://doi.org/10.1175/JCLI-D-21-0093.1" TargetMode="External"/><Relationship Id="rId42" Type="http://schemas.openxmlformats.org/officeDocument/2006/relationships/hyperlink" Target="https://doi.org/10.1175/1520-0493(2000)128%3c2920:ESOECA%3e2.0.CO;2" TargetMode="External"/><Relationship Id="rId47" Type="http://schemas.openxmlformats.org/officeDocument/2006/relationships/hyperlink" Target="https://doi.org/10.1002/2017GL074778" TargetMode="External"/><Relationship Id="rId63" Type="http://schemas.openxmlformats.org/officeDocument/2006/relationships/hyperlink" Target="https://doi.org/10.1175/WAF-D-12-00132.1"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5/2010BAMS2853.1" TargetMode="External"/><Relationship Id="rId29" Type="http://schemas.openxmlformats.org/officeDocument/2006/relationships/hyperlink" Target="https://doi.org/10.1080/15022250.2010.521686"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29/2023GL105993" TargetMode="External"/><Relationship Id="rId32" Type="http://schemas.openxmlformats.org/officeDocument/2006/relationships/hyperlink" Target="https://doi.org/10.24381/cds.adbb2d47" TargetMode="External"/><Relationship Id="rId37" Type="http://schemas.openxmlformats.org/officeDocument/2006/relationships/hyperlink" Target="https://doi.org/10.1175/WAF-D-16-0026.1" TargetMode="External"/><Relationship Id="rId40" Type="http://schemas.openxmlformats.org/officeDocument/2006/relationships/hyperlink" Target="https://doi.org/10.1175/1520-0493(1986)114%3c2207:ECOTWC%3e2.0.CO;2" TargetMode="External"/><Relationship Id="rId45" Type="http://schemas.openxmlformats.org/officeDocument/2006/relationships/hyperlink" Target="https://doi.org/10.1029/2012GL054259" TargetMode="External"/><Relationship Id="rId53" Type="http://schemas.openxmlformats.org/officeDocument/2006/relationships/hyperlink" Target="https://doi.org/10.1175/1520-0434(1987)002%3c0289:TIOJSC%3e2.0.CO;2" TargetMode="External"/><Relationship Id="rId58" Type="http://schemas.openxmlformats.org/officeDocument/2006/relationships/hyperlink" Target="https://doi.org/10.1175/JCLI-D-23-0445.1"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002/grl.50190" TargetMode="External"/><Relationship Id="rId19" Type="http://schemas.openxmlformats.org/officeDocument/2006/relationships/hyperlink" Target="https://doi.org/10.1175/2010MWR3371.1" TargetMode="External"/><Relationship Id="rId14" Type="http://schemas.openxmlformats.org/officeDocument/2006/relationships/hyperlink" Target="https://doi.org/10.1002/qj.4569" TargetMode="External"/><Relationship Id="rId22" Type="http://schemas.openxmlformats.org/officeDocument/2006/relationships/hyperlink" Target="https://doi.org/10.1175/JCLI-D-15-0755.1" TargetMode="External"/><Relationship Id="rId27" Type="http://schemas.openxmlformats.org/officeDocument/2006/relationships/hyperlink" Target="https://doi.org/10.1029/2020GL090353" TargetMode="External"/><Relationship Id="rId30" Type="http://schemas.openxmlformats.org/officeDocument/2006/relationships/hyperlink" Target="https://doi.org/10.1175/BAMS-D-12-00014.1" TargetMode="External"/><Relationship Id="rId35" Type="http://schemas.openxmlformats.org/officeDocument/2006/relationships/hyperlink" Target="https://doi.org/10.1175/MWR-D-17-0329.1" TargetMode="External"/><Relationship Id="rId43" Type="http://schemas.openxmlformats.org/officeDocument/2006/relationships/hyperlink" Target="https://doi.org/10.1080/07055900.1995.9649522" TargetMode="External"/><Relationship Id="rId48" Type="http://schemas.openxmlformats.org/officeDocument/2006/relationships/hyperlink" Target="https://doi.org/10.1002/2014GL059983" TargetMode="External"/><Relationship Id="rId56" Type="http://schemas.openxmlformats.org/officeDocument/2006/relationships/hyperlink" Target="https://doi.org/10.1016/j.polar.2018.01.002" TargetMode="External"/><Relationship Id="rId64" Type="http://schemas.openxmlformats.org/officeDocument/2006/relationships/hyperlink" Target="https://doi.org/10.1175/JAS3688.1" TargetMode="External"/><Relationship Id="rId69" Type="http://schemas.openxmlformats.org/officeDocument/2006/relationships/footer" Target="footer3.xml"/><Relationship Id="rId8" Type="http://schemas.openxmlformats.org/officeDocument/2006/relationships/hyperlink" Target="https://doi.org/10.24381/cds.adbb2d47" TargetMode="External"/><Relationship Id="rId51" Type="http://schemas.openxmlformats.org/officeDocument/2006/relationships/hyperlink" Target="https://doi.org/10.1175/MWR-D-14-00006.1"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3390/ijgi1010032" TargetMode="External"/><Relationship Id="rId25" Type="http://schemas.openxmlformats.org/officeDocument/2006/relationships/hyperlink" Target="https://doi.org/10.1002/qj.828" TargetMode="External"/><Relationship Id="rId33" Type="http://schemas.openxmlformats.org/officeDocument/2006/relationships/hyperlink" Target="https://doi.org/10.24381/cds.bd0915c6" TargetMode="External"/><Relationship Id="rId38" Type="http://schemas.openxmlformats.org/officeDocument/2006/relationships/hyperlink" Target="https://doi.org/10.1175/1520-0493(2002)130%3c0957:ICSAEG%3e2.0.CO;2" TargetMode="External"/><Relationship Id="rId46" Type="http://schemas.openxmlformats.org/officeDocument/2006/relationships/hyperlink" Target="https://doi.org/10.1002/qj.3055" TargetMode="External"/><Relationship Id="rId59" Type="http://schemas.openxmlformats.org/officeDocument/2006/relationships/hyperlink" Target="https://doi.org/10.1175/1520-0469(2003)060%3c1173:EOMCOM%3e2.0.CO;2" TargetMode="External"/><Relationship Id="rId67" Type="http://schemas.openxmlformats.org/officeDocument/2006/relationships/footer" Target="footer2.xml"/><Relationship Id="rId20" Type="http://schemas.openxmlformats.org/officeDocument/2006/relationships/hyperlink" Target="https://doi.org/10.1175/MWR-D-11-00304.1" TargetMode="External"/><Relationship Id="rId41" Type="http://schemas.openxmlformats.org/officeDocument/2006/relationships/hyperlink" Target="https://doi.org/10.1175/1520-0434(1992)007%3c0003:SOODMI%3e2.0.CO;2" TargetMode="External"/><Relationship Id="rId54" Type="http://schemas.openxmlformats.org/officeDocument/2006/relationships/hyperlink" Target="https://doi.org/10.5194/wcd-3-1097-2022" TargetMode="External"/><Relationship Id="rId62" Type="http://schemas.openxmlformats.org/officeDocument/2006/relationships/hyperlink" Target="https://doi.org/10.1175/1520-0442(2004)017%3c2300:CAIVOA%3e2.0.CO;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MWR-D-22-0318.1" TargetMode="External"/><Relationship Id="rId23" Type="http://schemas.openxmlformats.org/officeDocument/2006/relationships/hyperlink" Target="https://doi.org/10.1175/MWR-D-20-0417.1" TargetMode="External"/><Relationship Id="rId28" Type="http://schemas.openxmlformats.org/officeDocument/2006/relationships/hyperlink" Target="https://doi.org/10.5194/wcd-2-1303-2021" TargetMode="External"/><Relationship Id="rId36" Type="http://schemas.openxmlformats.org/officeDocument/2006/relationships/hyperlink" Target="https://doi.org/10.1175/1520-0493(1988)116%3c2081:NSOAED%3e2.0.CO;2" TargetMode="External"/><Relationship Id="rId49" Type="http://schemas.openxmlformats.org/officeDocument/2006/relationships/hyperlink" Target="https://doi.org/10.1002/qj.49711950903" TargetMode="External"/><Relationship Id="rId57" Type="http://schemas.openxmlformats.org/officeDocument/2006/relationships/hyperlink" Target="https://doi.org/10.1002/2014JD022925"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1002/qj.3803" TargetMode="External"/><Relationship Id="rId44" Type="http://schemas.openxmlformats.org/officeDocument/2006/relationships/hyperlink" Target="https://doi.org/10.1175/2007JCLI1810.1" TargetMode="External"/><Relationship Id="rId52" Type="http://schemas.openxmlformats.org/officeDocument/2006/relationships/hyperlink" Target="https://doi.org/10.1175/MWR-D-15-0085.1" TargetMode="External"/><Relationship Id="rId60" Type="http://schemas.openxmlformats.org/officeDocument/2006/relationships/hyperlink" Target="https://doi.org/10.1175/JAS4028.1"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175/MWR-D-14-00270.1" TargetMode="External"/><Relationship Id="rId18" Type="http://schemas.openxmlformats.org/officeDocument/2006/relationships/hyperlink" Target="https://doi.org/10.1175/MWR-D-20-0350.1" TargetMode="External"/><Relationship Id="rId39" Type="http://schemas.openxmlformats.org/officeDocument/2006/relationships/hyperlink" Target="https://doi.org/10.1029/2023JD038638" TargetMode="External"/><Relationship Id="rId34" Type="http://schemas.openxmlformats.org/officeDocument/2006/relationships/hyperlink" Target="https://doi.org/10.1175/MWR-D-20-0285.1" TargetMode="External"/><Relationship Id="rId50" Type="http://schemas.openxmlformats.org/officeDocument/2006/relationships/hyperlink" Target="https://doi.org/10.1175/2007MWR2132.1" TargetMode="External"/><Relationship Id="rId55" Type="http://schemas.openxmlformats.org/officeDocument/2006/relationships/hyperlink" Target="https://doi.org/10.1002/asl.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10648</Words>
  <Characters>60699</Characters>
  <Application>Microsoft Office Word</Application>
  <DocSecurity>0</DocSecurity>
  <Lines>505</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71205</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2</cp:revision>
  <dcterms:created xsi:type="dcterms:W3CDTF">2024-05-07T01:03:00Z</dcterms:created>
  <dcterms:modified xsi:type="dcterms:W3CDTF">2024-05-07T01:03:00Z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